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8D" w:rsidRDefault="00762EA9" w:rsidP="005F668D">
      <w:pPr>
        <w:pStyle w:val="aff5"/>
      </w:pPr>
      <w:r>
        <w:rPr>
          <w:noProof/>
          <w:lang w:eastAsia="ru-RU"/>
        </w:rPr>
        <w:pict>
          <v:rect id="_x0000_s1026" style="position:absolute;margin-left:-63.3pt;margin-top:-34.95pt;width:551.25pt;height:664.5pt;z-index:-48653919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 fillcolor="white [3212]" stroked="f"/>
        </w:pict>
      </w:r>
      <w:r>
        <w:rPr>
          <w:noProof/>
          <w:lang w:eastAsia="ru-RU"/>
        </w:rPr>
        <w:pict>
          <v:rect id="Прямоугольник 3" o:spid="_x0000_s1028" style="position:absolute;margin-left:0;margin-top:-81.6pt;width:598.55pt;height:867.8pt;z-index:-50331647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 fillcolor="#0b595d" stroked="f" strokeweight="1pt">
            <v:fill opacity="6682f"/>
            <w10:wrap anchorx="page"/>
          </v:rect>
        </w:pict>
      </w:r>
      <w:r w:rsidR="00CB6FFD">
        <w:rPr>
          <w:noProof/>
          <w:lang w:eastAsia="ru-RU"/>
        </w:rPr>
        <w:drawing>
          <wp:anchor distT="0" distB="0" distL="114300" distR="114300" simplePos="0" relativeHeight="10066370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RDefault="00187BA3" w:rsidP="002F7719"/>
    <w:p w:rsidR="00187BA3" w:rsidRDefault="00187BA3" w:rsidP="002F7719">
      <w:pPr>
        <w:pStyle w:val="afc"/>
      </w:pP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</w:p>
    <w:p w:rsidR="0036727F" w:rsidRDefault="0036727F" w:rsidP="005F668D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>
        <w:trPr>
          <w:trHeight w:val="190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Туберкулезный </w:t>
            </w:r>
            <w:proofErr w:type="spellStart"/>
            <w:r>
              <w:rPr>
                <w:b/>
                <w:color w:val="000000"/>
                <w:sz w:val="44"/>
                <w:szCs w:val="44"/>
              </w:rPr>
              <w:t>увеит</w:t>
            </w:r>
            <w:proofErr w:type="spellEnd"/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A18.5, H32.0, H22.0</w:t>
            </w:r>
          </w:p>
        </w:tc>
      </w:tr>
      <w:tr w:rsidR="0036727F" w:rsidTr="00B8507B">
        <w:trPr>
          <w:trHeight w:val="82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="00AA7208">
              <w:rPr>
                <w:rStyle w:val="pop-slug-vol"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дети, взрослые</w:t>
            </w:r>
          </w:p>
        </w:tc>
      </w:tr>
      <w:tr w:rsidR="0036727F" w:rsidTr="00B8507B">
        <w:trPr>
          <w:trHeight w:val="890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КР285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2017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>
        <w:trPr>
          <w:trHeight w:val="4170"/>
        </w:trPr>
        <w:tc>
          <w:tcPr>
            <w:tcW w:w="9525" w:type="dxa"/>
          </w:tcPr>
          <w:p w:rsidR="0036727F" w:rsidRPr="005F668D" w:rsidRDefault="0036727F" w:rsidP="00753BA6">
            <w:pPr>
              <w:pStyle w:val="aff5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F668D">
              <w:rPr>
                <w:b/>
              </w:rPr>
              <w:t>Общероссийская общественная организация «Ассоциация врачей-офтальмологов»</w:t>
            </w:r>
          </w:p>
        </w:tc>
      </w:tr>
      <w:tr w:rsidR="00B8507B" w:rsidTr="00B8507B">
        <w:trPr>
          <w:trHeight w:val="1560"/>
        </w:trPr>
        <w:tc>
          <w:tcPr>
            <w:tcW w:w="9525" w:type="dxa"/>
          </w:tcPr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В.В. </w:t>
            </w:r>
            <w:proofErr w:type="spellStart"/>
            <w:r w:rsidRPr="005F668D">
              <w:rPr>
                <w:color w:val="000000"/>
              </w:rPr>
              <w:t>Нероев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детский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Л.А. </w:t>
            </w:r>
            <w:proofErr w:type="spellStart"/>
            <w:r w:rsidRPr="005F668D">
              <w:rPr>
                <w:color w:val="000000"/>
              </w:rPr>
              <w:t>Катаргина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</w:tc>
      </w:tr>
    </w:tbl>
    <w:p w:rsidR="0036727F" w:rsidRDefault="00762EA9" w:rsidP="005F668D">
      <w:pPr>
        <w:tabs>
          <w:tab w:val="left" w:pos="6135"/>
        </w:tabs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4" o:spid="_x0000_s1027" style="position:absolute;margin-left:0;margin-top:499.8pt;width:551.25pt;height:117.75pt;z-index:-251657216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 fillcolor="white [3212]" stroked="f">
            <w10:wrap anchorx="page"/>
          </v:rect>
        </w:pict>
      </w:r>
    </w:p>
    <w:p w:rsidR="001D6CD3" w:rsidRPr="00774A3F" w:rsidRDefault="00753BA6">
      <w:pPr>
        <w:rPr>
          <w:b/>
          <w:sz w:val="28"/>
          <w:szCs w:val="28"/>
        </w:rPr>
      </w:pPr>
      <w:r>
        <w:br w:type="page"/>
      </w:r>
      <w:sdt>
        <w:sdtPr>
          <w:rPr>
            <w:b/>
            <w:sz w:val="28"/>
            <w:szCs w:val="28"/>
          </w:rPr>
          <w:id w:val="1526977811"/>
          <w:docPartObj>
            <w:docPartGallery w:val="Table of Contents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r w:rsidRPr="00774A3F">
            <w:rPr>
              <w:b/>
              <w:sz w:val="28"/>
              <w:szCs w:val="28"/>
            </w:rPr>
            <w:t>Оглавление</w:t>
          </w:r>
        </w:sdtContent>
      </w:sdt>
    </w:p>
    <w:p w:rsidR="00774A3F" w:rsidRDefault="001942DC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753BA6">
        <w:instrText xml:space="preserve"> TOC \o "1-3" \h \z \u </w:instrText>
      </w:r>
      <w:r>
        <w:fldChar w:fldCharType="separate"/>
      </w:r>
      <w:hyperlink w:anchor="_Toc481656222" w:history="1">
        <w:r w:rsidR="00774A3F" w:rsidRPr="00842478">
          <w:rPr>
            <w:rStyle w:val="affa"/>
            <w:noProof/>
          </w:rPr>
          <w:t>Ключевые слова</w:t>
        </w:r>
        <w:r w:rsidR="00774A3F">
          <w:rPr>
            <w:noProof/>
            <w:webHidden/>
          </w:rPr>
          <w:tab/>
        </w:r>
        <w:r w:rsidR="00774A3F">
          <w:rPr>
            <w:noProof/>
            <w:webHidden/>
          </w:rPr>
          <w:fldChar w:fldCharType="begin"/>
        </w:r>
        <w:r w:rsidR="00774A3F">
          <w:rPr>
            <w:noProof/>
            <w:webHidden/>
          </w:rPr>
          <w:instrText xml:space="preserve"> PAGEREF _Toc481656222 \h </w:instrText>
        </w:r>
        <w:r w:rsidR="00774A3F">
          <w:rPr>
            <w:noProof/>
            <w:webHidden/>
          </w:rPr>
        </w:r>
        <w:r w:rsidR="00774A3F"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3</w:t>
        </w:r>
        <w:r w:rsidR="00774A3F"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23" w:history="1">
        <w:r w:rsidRPr="00842478">
          <w:rPr>
            <w:rStyle w:val="affa"/>
            <w:noProof/>
          </w:rPr>
          <w:t>Список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24" w:history="1">
        <w:r w:rsidRPr="00842478">
          <w:rPr>
            <w:rStyle w:val="affa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25" w:history="1">
        <w:r w:rsidRPr="00842478">
          <w:rPr>
            <w:rStyle w:val="affa"/>
            <w:noProof/>
          </w:rPr>
          <w:t>1. Краткая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26" w:history="1">
        <w:r w:rsidRPr="00842478">
          <w:rPr>
            <w:rStyle w:val="affa"/>
            <w:noProof/>
          </w:rPr>
          <w:t>2. Диагностика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27" w:history="1">
        <w:r w:rsidRPr="00842478">
          <w:rPr>
            <w:rStyle w:val="affa"/>
            <w:noProof/>
          </w:rPr>
          <w:t>3. 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28" w:history="1">
        <w:r w:rsidRPr="00842478">
          <w:rPr>
            <w:rStyle w:val="affa"/>
            <w:noProof/>
          </w:rPr>
          <w:t>4. Реабилитация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29" w:history="1">
        <w:r w:rsidRPr="00842478">
          <w:rPr>
            <w:rStyle w:val="affa"/>
            <w:noProof/>
          </w:rPr>
          <w:t>5. Профилактика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0" w:history="1">
        <w:r w:rsidRPr="00842478">
          <w:rPr>
            <w:rStyle w:val="affa"/>
            <w:noProof/>
          </w:rPr>
          <w:t>6. Дополнительная информация, влияющая на течение и исход заболевания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1" w:history="1">
        <w:r w:rsidRPr="00842478">
          <w:rPr>
            <w:rStyle w:val="affa"/>
            <w:noProof/>
          </w:rPr>
          <w:t>Критерии оценки качества медицинской помощи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2" w:history="1">
        <w:r w:rsidRPr="00842478">
          <w:rPr>
            <w:rStyle w:val="affa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3" w:history="1">
        <w:r w:rsidRPr="00842478">
          <w:rPr>
            <w:rStyle w:val="affa"/>
            <w:noProof/>
          </w:rPr>
          <w:t>Приложение А1. Состав рабочей группы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4" w:history="1">
        <w:r w:rsidRPr="00842478">
          <w:rPr>
            <w:rStyle w:val="affa"/>
            <w:noProof/>
          </w:rPr>
          <w:t>Приложение А2. Методология разработки клинических рекомендаций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5" w:history="1">
        <w:r w:rsidRPr="00842478">
          <w:rPr>
            <w:rStyle w:val="affa"/>
            <w:noProof/>
          </w:rPr>
          <w:t>Приложение А3. Связанные документы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6" w:history="1">
        <w:r w:rsidRPr="00842478">
          <w:rPr>
            <w:rStyle w:val="affa"/>
            <w:noProof/>
          </w:rPr>
          <w:t>Приложение Б. Алгоритмы ведения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7" w:history="1">
        <w:r w:rsidRPr="00842478">
          <w:rPr>
            <w:rStyle w:val="affa"/>
            <w:noProof/>
          </w:rPr>
          <w:t>Приложение В. Информация для пациентов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74A3F" w:rsidRDefault="00774A3F">
      <w:pPr>
        <w:pStyle w:val="14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656238" w:history="1">
        <w:r w:rsidRPr="00842478">
          <w:rPr>
            <w:rStyle w:val="affa"/>
            <w:noProof/>
          </w:rPr>
          <w:t>Приложение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_Toc481656238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3BA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D6CD3" w:rsidRDefault="001942DC">
      <w:r>
        <w:rPr>
          <w:b/>
          <w:bCs/>
          <w:noProof/>
        </w:rPr>
        <w:fldChar w:fldCharType="end"/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bookmarkStart w:id="0" w:name="_GoBack"/>
      <w:bookmarkEnd w:id="0"/>
      <w:r>
        <w:br w:type="page"/>
      </w:r>
      <w:bookmarkStart w:id="1" w:name="_Toc481656222"/>
      <w:r w:rsidRPr="00774A3F">
        <w:rPr>
          <w:sz w:val="28"/>
          <w:szCs w:val="28"/>
          <w:u w:val="none"/>
        </w:rPr>
        <w:lastRenderedPageBreak/>
        <w:t>Ключевые слова</w:t>
      </w:r>
      <w:bookmarkEnd w:id="1"/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Туберкулез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Глазные болезни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proofErr w:type="spellStart"/>
      <w:r>
        <w:t>Увеит</w:t>
      </w:r>
      <w:proofErr w:type="spellEnd"/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proofErr w:type="spellStart"/>
      <w:r>
        <w:t>Увеальный</w:t>
      </w:r>
      <w:proofErr w:type="spellEnd"/>
      <w:r>
        <w:t xml:space="preserve"> тракт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Сетчатка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proofErr w:type="spellStart"/>
      <w:r>
        <w:t>Васкулит</w:t>
      </w:r>
      <w:proofErr w:type="spellEnd"/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Лечение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Диагностика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Лучевая диагностика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Химиотерапия</w:t>
      </w:r>
    </w:p>
    <w:p w:rsidR="009F17BC" w:rsidRDefault="00753BA6" w:rsidP="00753BA6">
      <w:pPr>
        <w:pStyle w:val="afa"/>
        <w:numPr>
          <w:ilvl w:val="0"/>
          <w:numId w:val="3"/>
        </w:numPr>
        <w:spacing w:before="100" w:after="100" w:line="240" w:lineRule="auto"/>
        <w:divId w:val="1738283746"/>
      </w:pPr>
      <w:r>
        <w:t>Фтизиатрия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r>
        <w:br w:type="page"/>
      </w:r>
      <w:bookmarkStart w:id="2" w:name="_Toc481656223"/>
      <w:r w:rsidRPr="00774A3F">
        <w:rPr>
          <w:sz w:val="28"/>
          <w:szCs w:val="28"/>
          <w:u w:val="none"/>
        </w:rPr>
        <w:lastRenderedPageBreak/>
        <w:t>Список сокращений</w:t>
      </w:r>
      <w:bookmarkEnd w:id="2"/>
    </w:p>
    <w:p w:rsidR="009F17BC" w:rsidRDefault="00753BA6">
      <w:pPr>
        <w:pStyle w:val="afa"/>
        <w:divId w:val="1556773186"/>
      </w:pPr>
      <w:r>
        <w:t>ВИЧ – вирус иммунодефицита человека</w:t>
      </w:r>
    </w:p>
    <w:p w:rsidR="009F17BC" w:rsidRDefault="00753BA6">
      <w:pPr>
        <w:pStyle w:val="afa"/>
        <w:divId w:val="1556773186"/>
      </w:pPr>
      <w:r>
        <w:t>ЖКТ – желудочно-кишечный тракт</w:t>
      </w:r>
    </w:p>
    <w:p w:rsidR="009F17BC" w:rsidRDefault="00753BA6">
      <w:pPr>
        <w:pStyle w:val="afa"/>
        <w:divId w:val="1556773186"/>
      </w:pPr>
      <w:r>
        <w:t>МБТ – микобактерия туберкулёза</w:t>
      </w:r>
    </w:p>
    <w:p w:rsidR="009F17BC" w:rsidRDefault="00753BA6">
      <w:pPr>
        <w:pStyle w:val="afa"/>
        <w:divId w:val="1556773186"/>
      </w:pPr>
      <w:r>
        <w:t>МКБ - Международная статистическая классификация болезней</w:t>
      </w:r>
    </w:p>
    <w:p w:rsidR="009F17BC" w:rsidRDefault="00753BA6">
      <w:pPr>
        <w:pStyle w:val="afa"/>
        <w:divId w:val="1556773186"/>
      </w:pPr>
      <w:r>
        <w:t>ОЛС – общая лечебная сеть</w:t>
      </w:r>
    </w:p>
    <w:p w:rsidR="009F17BC" w:rsidRDefault="00753BA6">
      <w:pPr>
        <w:pStyle w:val="afa"/>
        <w:divId w:val="1556773186"/>
      </w:pPr>
      <w:r>
        <w:t>ПАСК – парааминосалициловая кислота</w:t>
      </w:r>
    </w:p>
    <w:p w:rsidR="009F17BC" w:rsidRDefault="00753BA6">
      <w:pPr>
        <w:pStyle w:val="afa"/>
        <w:divId w:val="1556773186"/>
      </w:pPr>
      <w:r>
        <w:t>ПТД – противотуберкулёзный диспансер</w:t>
      </w:r>
    </w:p>
    <w:p w:rsidR="009F17BC" w:rsidRDefault="00753BA6">
      <w:pPr>
        <w:pStyle w:val="afa"/>
        <w:divId w:val="1556773186"/>
      </w:pPr>
      <w:r>
        <w:t>ПТС – противотуберкулёзная служба</w:t>
      </w:r>
    </w:p>
    <w:p w:rsidR="009F17BC" w:rsidRDefault="00753BA6">
      <w:pPr>
        <w:pStyle w:val="afa"/>
        <w:divId w:val="1556773186"/>
      </w:pPr>
      <w:r>
        <w:t xml:space="preserve">РКИ – </w:t>
      </w:r>
      <w:proofErr w:type="spellStart"/>
      <w:r>
        <w:t>рандомизированное</w:t>
      </w:r>
      <w:proofErr w:type="spellEnd"/>
      <w:r>
        <w:t xml:space="preserve"> контролируемое исследование</w:t>
      </w:r>
    </w:p>
    <w:p w:rsidR="009F17BC" w:rsidRDefault="00753BA6">
      <w:pPr>
        <w:pStyle w:val="afa"/>
        <w:divId w:val="1556773186"/>
      </w:pPr>
      <w:r>
        <w:t>РФ – Российская Федерация</w:t>
      </w:r>
    </w:p>
    <w:p w:rsidR="009F17BC" w:rsidRDefault="00753BA6">
      <w:pPr>
        <w:pStyle w:val="afa"/>
        <w:divId w:val="1556773186"/>
      </w:pPr>
      <w:r>
        <w:t>СПИД – синдром приобретённого иммунодефицита</w:t>
      </w:r>
    </w:p>
    <w:p w:rsidR="009F17BC" w:rsidRDefault="00753BA6">
      <w:pPr>
        <w:pStyle w:val="afa"/>
        <w:divId w:val="1556773186"/>
      </w:pPr>
      <w:r>
        <w:t>ССС – сердечно-сосудистая система</w:t>
      </w:r>
    </w:p>
    <w:p w:rsidR="009F17BC" w:rsidRDefault="00753BA6">
      <w:pPr>
        <w:pStyle w:val="afa"/>
        <w:divId w:val="1556773186"/>
      </w:pPr>
      <w:r>
        <w:t>УЗИ - ультразвуковое исследование</w:t>
      </w:r>
    </w:p>
    <w:p w:rsidR="009F17BC" w:rsidRDefault="00753BA6">
      <w:pPr>
        <w:pStyle w:val="afa"/>
        <w:divId w:val="1556773186"/>
      </w:pPr>
      <w:r>
        <w:t>ХТ – химиотерапия</w:t>
      </w:r>
    </w:p>
    <w:p w:rsidR="009F17BC" w:rsidRDefault="00753BA6">
      <w:pPr>
        <w:pStyle w:val="afa"/>
        <w:divId w:val="1556773186"/>
      </w:pPr>
      <w:r>
        <w:t>ЦНС – центральная нервная система</w:t>
      </w:r>
    </w:p>
    <w:p w:rsidR="00C21E3D" w:rsidRPr="00774A3F" w:rsidRDefault="00753BA6" w:rsidP="00774A3F">
      <w:pPr>
        <w:pStyle w:val="10"/>
        <w:jc w:val="center"/>
        <w:rPr>
          <w:b w:val="0"/>
          <w:sz w:val="28"/>
          <w:szCs w:val="28"/>
          <w:u w:val="none"/>
        </w:rPr>
      </w:pPr>
      <w:r>
        <w:br w:type="page"/>
      </w:r>
      <w:bookmarkStart w:id="3" w:name="_Toc481656224"/>
      <w:r w:rsidRPr="00774A3F">
        <w:rPr>
          <w:sz w:val="28"/>
          <w:szCs w:val="28"/>
          <w:u w:val="none"/>
        </w:rPr>
        <w:lastRenderedPageBreak/>
        <w:t>Термины и определения</w:t>
      </w:r>
      <w:bookmarkEnd w:id="3"/>
    </w:p>
    <w:p w:rsidR="009F17BC" w:rsidRDefault="00753BA6" w:rsidP="00C21E3D">
      <w:pPr>
        <w:jc w:val="both"/>
      </w:pPr>
      <w:proofErr w:type="spellStart"/>
      <w:r>
        <w:rPr>
          <w:rStyle w:val="aff8"/>
        </w:rPr>
        <w:t>Увеит</w:t>
      </w:r>
      <w:proofErr w:type="spellEnd"/>
      <w:r>
        <w:rPr>
          <w:rStyle w:val="aff8"/>
        </w:rPr>
        <w:t xml:space="preserve"> передний (иридоциклит)</w:t>
      </w:r>
      <w:r>
        <w:t xml:space="preserve"> – воспалительное поражение передних отделов </w:t>
      </w:r>
      <w:proofErr w:type="spellStart"/>
      <w:r>
        <w:t>увеального</w:t>
      </w:r>
      <w:proofErr w:type="spellEnd"/>
      <w:r>
        <w:t xml:space="preserve"> тракта.</w:t>
      </w:r>
    </w:p>
    <w:p w:rsidR="009F17BC" w:rsidRDefault="00753BA6">
      <w:pPr>
        <w:pStyle w:val="afa"/>
        <w:divId w:val="12146913"/>
      </w:pPr>
      <w:proofErr w:type="spellStart"/>
      <w:r>
        <w:rPr>
          <w:rStyle w:val="aff8"/>
        </w:rPr>
        <w:t>Увеит</w:t>
      </w:r>
      <w:proofErr w:type="spellEnd"/>
      <w:r>
        <w:rPr>
          <w:rStyle w:val="aff8"/>
        </w:rPr>
        <w:t xml:space="preserve"> срединный</w:t>
      </w:r>
      <w:r>
        <w:t xml:space="preserve"> – поражение задней порции цилиарного тела, плоской части цилиарного тела.</w:t>
      </w:r>
    </w:p>
    <w:p w:rsidR="009F17BC" w:rsidRDefault="00753BA6">
      <w:pPr>
        <w:pStyle w:val="afa"/>
        <w:divId w:val="12146913"/>
      </w:pPr>
      <w:r>
        <w:rPr>
          <w:rStyle w:val="aff8"/>
        </w:rPr>
        <w:t xml:space="preserve">Задний </w:t>
      </w:r>
      <w:proofErr w:type="spellStart"/>
      <w:r>
        <w:rPr>
          <w:rStyle w:val="aff8"/>
        </w:rPr>
        <w:t>увеит</w:t>
      </w:r>
      <w:proofErr w:type="spellEnd"/>
      <w:r>
        <w:t xml:space="preserve"> – воспалительное поражение задних отделов </w:t>
      </w:r>
      <w:proofErr w:type="spellStart"/>
      <w:r>
        <w:t>увеального</w:t>
      </w:r>
      <w:proofErr w:type="spellEnd"/>
      <w:r>
        <w:t xml:space="preserve"> тракта с вовлечением сетчатки.</w:t>
      </w:r>
    </w:p>
    <w:p w:rsidR="009F17BC" w:rsidRDefault="00753BA6">
      <w:pPr>
        <w:pStyle w:val="afa"/>
        <w:divId w:val="12146913"/>
      </w:pPr>
      <w:proofErr w:type="spellStart"/>
      <w:r>
        <w:rPr>
          <w:rStyle w:val="aff8"/>
        </w:rPr>
        <w:t>Генерализованный</w:t>
      </w:r>
      <w:proofErr w:type="spellEnd"/>
      <w:r>
        <w:rPr>
          <w:rStyle w:val="aff8"/>
        </w:rPr>
        <w:t xml:space="preserve"> </w:t>
      </w:r>
      <w:proofErr w:type="spellStart"/>
      <w:r>
        <w:rPr>
          <w:rStyle w:val="aff8"/>
        </w:rPr>
        <w:t>увеит</w:t>
      </w:r>
      <w:proofErr w:type="spellEnd"/>
      <w:r>
        <w:rPr>
          <w:rStyle w:val="aff8"/>
        </w:rPr>
        <w:t xml:space="preserve"> (</w:t>
      </w:r>
      <w:proofErr w:type="spellStart"/>
      <w:r>
        <w:rPr>
          <w:rStyle w:val="aff8"/>
        </w:rPr>
        <w:t>панувеит</w:t>
      </w:r>
      <w:proofErr w:type="spellEnd"/>
      <w:r>
        <w:rPr>
          <w:rStyle w:val="aff8"/>
        </w:rPr>
        <w:t>)</w:t>
      </w:r>
      <w:r>
        <w:t xml:space="preserve"> – воспалительное поражение передних и задних отделов </w:t>
      </w:r>
      <w:proofErr w:type="spellStart"/>
      <w:r>
        <w:t>увеального</w:t>
      </w:r>
      <w:proofErr w:type="spellEnd"/>
      <w:r>
        <w:t xml:space="preserve"> тракта.</w:t>
      </w:r>
    </w:p>
    <w:p w:rsidR="009F17BC" w:rsidRDefault="00753BA6">
      <w:pPr>
        <w:pStyle w:val="afa"/>
        <w:divId w:val="12146913"/>
      </w:pPr>
      <w:proofErr w:type="spellStart"/>
      <w:r>
        <w:rPr>
          <w:rStyle w:val="aff8"/>
        </w:rPr>
        <w:t>Увеакератит</w:t>
      </w:r>
      <w:proofErr w:type="spellEnd"/>
      <w:r>
        <w:t xml:space="preserve"> формируется при распространении процесса с радужки в роговую оболочку.</w:t>
      </w:r>
    </w:p>
    <w:p w:rsidR="009F17BC" w:rsidRDefault="00753BA6">
      <w:pPr>
        <w:pStyle w:val="afa"/>
        <w:divId w:val="12146913"/>
      </w:pPr>
      <w:proofErr w:type="spellStart"/>
      <w:r>
        <w:rPr>
          <w:rStyle w:val="aff8"/>
        </w:rPr>
        <w:t>Увеасклерит</w:t>
      </w:r>
      <w:proofErr w:type="spellEnd"/>
      <w:r>
        <w:rPr>
          <w:rStyle w:val="aff8"/>
        </w:rPr>
        <w:t xml:space="preserve"> </w:t>
      </w:r>
      <w:r>
        <w:t>формируется при распространении специфического процесса на склеру сетчатки.</w:t>
      </w:r>
    </w:p>
    <w:p w:rsidR="009F17BC" w:rsidRDefault="00753BA6">
      <w:pPr>
        <w:pStyle w:val="afa"/>
        <w:divId w:val="12146913"/>
      </w:pPr>
      <w:proofErr w:type="spellStart"/>
      <w:r>
        <w:rPr>
          <w:rStyle w:val="aff8"/>
        </w:rPr>
        <w:t>Васкулит</w:t>
      </w:r>
      <w:proofErr w:type="spellEnd"/>
      <w:r>
        <w:rPr>
          <w:rStyle w:val="aff8"/>
        </w:rPr>
        <w:t xml:space="preserve"> </w:t>
      </w:r>
      <w:proofErr w:type="spellStart"/>
      <w:r>
        <w:rPr>
          <w:rStyle w:val="aff8"/>
        </w:rPr>
        <w:t>ретинальный</w:t>
      </w:r>
      <w:proofErr w:type="spellEnd"/>
      <w:r>
        <w:t xml:space="preserve"> – воспалительное поражение сосудов сетчатки.</w:t>
      </w:r>
    </w:p>
    <w:p w:rsidR="009F17BC" w:rsidRDefault="00753BA6">
      <w:pPr>
        <w:pStyle w:val="afa"/>
        <w:divId w:val="12146913"/>
      </w:pPr>
      <w:r>
        <w:rPr>
          <w:rStyle w:val="aff8"/>
        </w:rPr>
        <w:t>Клиническое излечение</w:t>
      </w:r>
      <w:r>
        <w:t xml:space="preserve"> - исчезновение всех признаков активного туберкулезного процесса в результате проведенного основного курса комплексного лечения.</w:t>
      </w:r>
    </w:p>
    <w:p w:rsidR="009F17BC" w:rsidRDefault="00753BA6">
      <w:pPr>
        <w:pStyle w:val="afa"/>
        <w:divId w:val="12146913"/>
      </w:pPr>
      <w:r>
        <w:rPr>
          <w:rStyle w:val="aff8"/>
        </w:rPr>
        <w:t>Рецидив</w:t>
      </w:r>
      <w:r>
        <w:t xml:space="preserve"> - появление признаков активного туберкулеза у лиц, ранее перенесших туберкулез и излеченных от него и снятых с учета в связи с выздоровлением.</w:t>
      </w:r>
    </w:p>
    <w:p w:rsidR="009F17BC" w:rsidRDefault="00753BA6">
      <w:pPr>
        <w:pStyle w:val="afa"/>
        <w:divId w:val="12146913"/>
      </w:pPr>
      <w:r>
        <w:rPr>
          <w:rStyle w:val="aff8"/>
        </w:rPr>
        <w:t>Фаза интенсивной терапии</w:t>
      </w:r>
      <w:r>
        <w:t xml:space="preserve"> направлена на ликвидацию клинических проявлений заболевания, максимальное воздействие на популяцию микобактерий туберкулеза с целью прекращения </w:t>
      </w:r>
      <w:proofErr w:type="spellStart"/>
      <w:r>
        <w:t>бактериовыделения</w:t>
      </w:r>
      <w:proofErr w:type="spellEnd"/>
      <w:r>
        <w:t xml:space="preserve"> и предотвращения развития лекарственной устойчивости, уменьшение инфильтративных и деструктивных изменений в органах.</w:t>
      </w:r>
    </w:p>
    <w:p w:rsidR="009F17BC" w:rsidRDefault="00753BA6">
      <w:pPr>
        <w:pStyle w:val="afa"/>
        <w:divId w:val="12146913"/>
      </w:pPr>
      <w:r>
        <w:rPr>
          <w:rStyle w:val="aff8"/>
        </w:rPr>
        <w:t>Фаза продолжения терапии</w:t>
      </w:r>
      <w:r>
        <w:t xml:space="preserve"> направлена на подавление сохраняющейся </w:t>
      </w:r>
      <w:proofErr w:type="spellStart"/>
      <w:r>
        <w:t>микобактериальной</w:t>
      </w:r>
      <w:proofErr w:type="spellEnd"/>
      <w:r>
        <w:t xml:space="preserve"> популяции. Она обеспечивает дальнейшее уменьшение воспалительных изменений и инволюцию туберкулезного процесса, а также восстановление функциональных возможностей больного.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r>
        <w:br w:type="page"/>
      </w:r>
      <w:bookmarkStart w:id="4" w:name="_Toc481656225"/>
      <w:r w:rsidRPr="00774A3F">
        <w:rPr>
          <w:sz w:val="28"/>
          <w:szCs w:val="28"/>
          <w:u w:val="none"/>
        </w:rPr>
        <w:lastRenderedPageBreak/>
        <w:t>1. Краткая информация</w:t>
      </w:r>
      <w:bookmarkEnd w:id="4"/>
    </w:p>
    <w:p w:rsidR="009F17BC" w:rsidRPr="00774A3F" w:rsidRDefault="00753BA6" w:rsidP="00774A3F">
      <w:pPr>
        <w:ind w:firstLine="709"/>
        <w:divId w:val="1219056190"/>
        <w:rPr>
          <w:rFonts w:eastAsia="Times New Roman"/>
          <w:b/>
          <w:sz w:val="36"/>
          <w:szCs w:val="36"/>
          <w:u w:val="single"/>
        </w:rPr>
      </w:pPr>
      <w:r w:rsidRPr="00774A3F">
        <w:rPr>
          <w:rFonts w:eastAsia="Times New Roman"/>
          <w:b/>
          <w:u w:val="single"/>
        </w:rPr>
        <w:t>1.1 Определение</w:t>
      </w:r>
    </w:p>
    <w:p w:rsidR="009F17BC" w:rsidRDefault="00753BA6">
      <w:pPr>
        <w:pStyle w:val="afa"/>
        <w:divId w:val="1219056190"/>
        <w:rPr>
          <w:rFonts w:eastAsiaTheme="minorEastAsia"/>
        </w:rPr>
      </w:pPr>
      <w:r>
        <w:t xml:space="preserve">Туберкулезный </w:t>
      </w:r>
      <w:proofErr w:type="spellStart"/>
      <w:r>
        <w:t>увеит</w:t>
      </w:r>
      <w:proofErr w:type="spellEnd"/>
      <w:r>
        <w:t xml:space="preserve"> – одна из форм внелегочного туберкулеза, характеризующаяся поражением сосудистого тракта глаза и сетчатки, имеет полиморфную клиническую картину, длительное рецидивирующее течение.</w:t>
      </w:r>
    </w:p>
    <w:p w:rsidR="009F17BC" w:rsidRPr="00774A3F" w:rsidRDefault="00753BA6" w:rsidP="00774A3F">
      <w:pPr>
        <w:ind w:firstLine="709"/>
        <w:divId w:val="1219056190"/>
        <w:rPr>
          <w:rFonts w:eastAsia="Times New Roman"/>
          <w:u w:val="single"/>
        </w:rPr>
      </w:pPr>
      <w:bookmarkStart w:id="5" w:name="_Toc469476243"/>
      <w:bookmarkEnd w:id="5"/>
      <w:r w:rsidRPr="00774A3F">
        <w:rPr>
          <w:rStyle w:val="aff8"/>
          <w:rFonts w:eastAsia="Times New Roman"/>
          <w:bCs w:val="0"/>
          <w:u w:val="single"/>
        </w:rPr>
        <w:t>1.2 Этиология и патогенез</w:t>
      </w:r>
    </w:p>
    <w:p w:rsidR="009F17BC" w:rsidRDefault="00753BA6">
      <w:pPr>
        <w:pStyle w:val="afa"/>
        <w:divId w:val="1219056190"/>
        <w:rPr>
          <w:rFonts w:eastAsiaTheme="minorEastAsia"/>
        </w:rPr>
      </w:pPr>
      <w:r>
        <w:t xml:space="preserve">Возбудитель туберкулезного </w:t>
      </w:r>
      <w:proofErr w:type="spellStart"/>
      <w:r>
        <w:t>увеита</w:t>
      </w:r>
      <w:proofErr w:type="spellEnd"/>
      <w:r>
        <w:t xml:space="preserve"> -  </w:t>
      </w:r>
      <w:proofErr w:type="spellStart"/>
      <w:r>
        <w:t>Mycobacteriatuberculosis</w:t>
      </w:r>
      <w:proofErr w:type="spellEnd"/>
      <w:r>
        <w:t xml:space="preserve">, представляет собой тонкую кислотоустойчивую палочку длиной от 0,8 до 3–5 мкм и шириной от 0,2 до 0,5 мкм. Микобактерии самостоятельным движением не обладают, могут располагаться внутри- и </w:t>
      </w:r>
      <w:proofErr w:type="spellStart"/>
      <w:r>
        <w:t>внеклеточно</w:t>
      </w:r>
      <w:proofErr w:type="spellEnd"/>
      <w:r>
        <w:t>, устойчивы к физическим и химическим агентам.</w:t>
      </w:r>
    </w:p>
    <w:p w:rsidR="009F17BC" w:rsidRDefault="00753BA6">
      <w:pPr>
        <w:pStyle w:val="afa"/>
        <w:divId w:val="1219056190"/>
      </w:pPr>
      <w:r>
        <w:t>В зависимости от механизма развития выделяют метастатический (</w:t>
      </w:r>
      <w:proofErr w:type="spellStart"/>
      <w:r>
        <w:t>гематогенно</w:t>
      </w:r>
      <w:proofErr w:type="spellEnd"/>
      <w:r>
        <w:t xml:space="preserve"> - диссеминированный) и туберкулезно-аллергический </w:t>
      </w:r>
      <w:proofErr w:type="spellStart"/>
      <w:r>
        <w:t>увеит</w:t>
      </w:r>
      <w:proofErr w:type="spellEnd"/>
      <w:r>
        <w:t xml:space="preserve">. Гематогенно-диссеминированный </w:t>
      </w:r>
      <w:proofErr w:type="spellStart"/>
      <w:r>
        <w:t>увеальный</w:t>
      </w:r>
      <w:proofErr w:type="spellEnd"/>
      <w:r>
        <w:t xml:space="preserve"> туберкулез является следствием инфекции, которая при неблагоприятных для </w:t>
      </w:r>
      <w:proofErr w:type="spellStart"/>
      <w:r>
        <w:t>макроорганизма</w:t>
      </w:r>
      <w:proofErr w:type="spellEnd"/>
      <w:r>
        <w:t xml:space="preserve"> условиях распространяется, в сосуды </w:t>
      </w:r>
      <w:proofErr w:type="spellStart"/>
      <w:r>
        <w:t>увеального</w:t>
      </w:r>
      <w:proofErr w:type="spellEnd"/>
      <w:r>
        <w:t xml:space="preserve"> тракта по системе кровообращения из </w:t>
      </w:r>
      <w:proofErr w:type="spellStart"/>
      <w:r>
        <w:t>внеглазных</w:t>
      </w:r>
      <w:proofErr w:type="spellEnd"/>
      <w:r>
        <w:t xml:space="preserve"> фокусов, которые могут располагаться в легких в виде рубцов или </w:t>
      </w:r>
      <w:proofErr w:type="spellStart"/>
      <w:r>
        <w:t>петрификатов</w:t>
      </w:r>
      <w:proofErr w:type="spellEnd"/>
      <w:r>
        <w:t xml:space="preserve">, а также в других органах, где микобактерии туберкулеза находятся в неактивном состоянии в течение многих лет. Возбудитель, попадая в </w:t>
      </w:r>
      <w:proofErr w:type="spellStart"/>
      <w:r>
        <w:t>увеальный</w:t>
      </w:r>
      <w:proofErr w:type="spellEnd"/>
      <w:r>
        <w:t xml:space="preserve"> тракт и распространяясь в окружающие ткани, приводит к формированию воспалительного очага, представляющего собой туберкулезную гранулему [2,3,4]. В основе туберкулезно-аллергического </w:t>
      </w:r>
      <w:proofErr w:type="spellStart"/>
      <w:r>
        <w:t>увеита</w:t>
      </w:r>
      <w:proofErr w:type="spellEnd"/>
      <w:r>
        <w:t xml:space="preserve"> лежат иммунные реакции типа антиген-антитело. Заболевание развивается у больных, организм и ткани глаза которых имеют сенсибилизацию к туберкулезному антигену, причем аллергическое воспаление может носить </w:t>
      </w:r>
      <w:proofErr w:type="spellStart"/>
      <w:r>
        <w:t>гиперергический</w:t>
      </w:r>
      <w:proofErr w:type="spellEnd"/>
      <w:r>
        <w:t xml:space="preserve"> характер. Этот тип </w:t>
      </w:r>
      <w:proofErr w:type="spellStart"/>
      <w:r>
        <w:t>увеита</w:t>
      </w:r>
      <w:proofErr w:type="spellEnd"/>
      <w:r>
        <w:t xml:space="preserve"> всегда возникает на фоне активной туберкулёзной инфекции </w:t>
      </w:r>
      <w:proofErr w:type="spellStart"/>
      <w:r>
        <w:t>внеглазной</w:t>
      </w:r>
      <w:proofErr w:type="spellEnd"/>
      <w:r>
        <w:t xml:space="preserve"> локализации (в лимфатических узлах или в лёгких) и не содержит морфологических элементов туберкулёзной гранулёмы. Встречается, как правило, у детей. Следует отметить, что изолированная глазная форма туберкулезного </w:t>
      </w:r>
      <w:proofErr w:type="spellStart"/>
      <w:r>
        <w:t>увеита</w:t>
      </w:r>
      <w:proofErr w:type="spellEnd"/>
      <w:r>
        <w:t xml:space="preserve"> встречается крайне редко [3,4].</w:t>
      </w:r>
    </w:p>
    <w:p w:rsidR="009F17BC" w:rsidRPr="00774A3F" w:rsidRDefault="00753BA6" w:rsidP="00774A3F">
      <w:pPr>
        <w:ind w:firstLine="709"/>
        <w:divId w:val="1219056190"/>
        <w:rPr>
          <w:rFonts w:eastAsia="Times New Roman"/>
          <w:b/>
          <w:u w:val="single"/>
        </w:rPr>
      </w:pPr>
      <w:bookmarkStart w:id="6" w:name="_Toc469476244"/>
      <w:bookmarkEnd w:id="6"/>
      <w:r w:rsidRPr="00774A3F">
        <w:rPr>
          <w:rFonts w:eastAsia="Times New Roman"/>
          <w:b/>
          <w:u w:val="single"/>
        </w:rPr>
        <w:t>1.3 Эпидемиология</w:t>
      </w:r>
    </w:p>
    <w:p w:rsidR="009F17BC" w:rsidRDefault="00753BA6">
      <w:pPr>
        <w:pStyle w:val="afa"/>
        <w:divId w:val="1219056190"/>
      </w:pPr>
      <w:r>
        <w:t xml:space="preserve">На воспалительные поражения сосудистого тракта приходится 7—30%. Туберкулезная этиология </w:t>
      </w:r>
      <w:proofErr w:type="spellStart"/>
      <w:r>
        <w:t>увеитов</w:t>
      </w:r>
      <w:proofErr w:type="spellEnd"/>
      <w:r>
        <w:t xml:space="preserve"> выявляется в 0,2 — 20,5%. Такой большой разброс полученных результатов объясняется различной эпидемиологической ситуацией в регионах в отношении туберкулеза, а также значительными трудностями в диагностике и интерпретации данных [2, 3]. В клинической структуре туберкулезного воспаления сосудистой оболочки наиболее часто встречается задний и </w:t>
      </w:r>
      <w:proofErr w:type="spellStart"/>
      <w:r>
        <w:t>генерализованный</w:t>
      </w:r>
      <w:proofErr w:type="spellEnd"/>
      <w:r>
        <w:t xml:space="preserve"> </w:t>
      </w:r>
      <w:proofErr w:type="spellStart"/>
      <w:r>
        <w:t>увеит</w:t>
      </w:r>
      <w:proofErr w:type="spellEnd"/>
      <w:r>
        <w:t xml:space="preserve"> (78%), значительно реже – передний </w:t>
      </w:r>
      <w:proofErr w:type="spellStart"/>
      <w:r>
        <w:t>увеит</w:t>
      </w:r>
      <w:proofErr w:type="spellEnd"/>
      <w:r>
        <w:t>. Туберкулезное поражение органа зрения может развиваться в любом возрасте.</w:t>
      </w:r>
    </w:p>
    <w:p w:rsidR="008E3BA4" w:rsidRDefault="008E3BA4">
      <w:pPr>
        <w:pStyle w:val="afa"/>
        <w:divId w:val="1219056190"/>
        <w:rPr>
          <w:rFonts w:eastAsiaTheme="minorEastAsia"/>
        </w:rPr>
      </w:pPr>
    </w:p>
    <w:p w:rsidR="009F17BC" w:rsidRPr="00774A3F" w:rsidRDefault="00753BA6" w:rsidP="00774A3F">
      <w:pPr>
        <w:ind w:firstLine="851"/>
        <w:divId w:val="1219056190"/>
        <w:rPr>
          <w:rFonts w:eastAsia="Times New Roman"/>
          <w:b/>
          <w:u w:val="single"/>
        </w:rPr>
      </w:pPr>
      <w:bookmarkStart w:id="7" w:name="_Toc469476245"/>
      <w:bookmarkEnd w:id="7"/>
      <w:r w:rsidRPr="00774A3F">
        <w:rPr>
          <w:rFonts w:eastAsia="Times New Roman"/>
          <w:b/>
          <w:u w:val="single"/>
        </w:rPr>
        <w:lastRenderedPageBreak/>
        <w:t>1.4 Кодирование по МКБ-10</w:t>
      </w:r>
    </w:p>
    <w:p w:rsidR="009F17BC" w:rsidRDefault="00753BA6">
      <w:pPr>
        <w:pStyle w:val="afa"/>
        <w:divId w:val="1219056190"/>
        <w:rPr>
          <w:rFonts w:eastAsiaTheme="minorEastAsia"/>
        </w:rPr>
      </w:pPr>
      <w:r>
        <w:rPr>
          <w:rStyle w:val="aff8"/>
        </w:rPr>
        <w:t>А18.5 Туберкулёз глаза</w:t>
      </w:r>
    </w:p>
    <w:p w:rsidR="009F17BC" w:rsidRDefault="00753BA6">
      <w:pPr>
        <w:pStyle w:val="afa"/>
        <w:divId w:val="1219056190"/>
      </w:pPr>
      <w:r>
        <w:t xml:space="preserve">Н32.0 </w:t>
      </w:r>
      <w:proofErr w:type="spellStart"/>
      <w:r>
        <w:t>Хориоретинит</w:t>
      </w:r>
      <w:proofErr w:type="spellEnd"/>
      <w:r>
        <w:t xml:space="preserve"> (хориоретинальное воспаление при инфекционных и паразитарных болезнях, классифицированных в других рубриках)</w:t>
      </w:r>
    </w:p>
    <w:p w:rsidR="009F17BC" w:rsidRDefault="00753BA6">
      <w:pPr>
        <w:pStyle w:val="afa"/>
        <w:divId w:val="1219056190"/>
      </w:pPr>
      <w:r>
        <w:t>Н22.0 Иридоциклит (иридоциклит при инфекционных болезнях, классифицированных в других рубриках)</w:t>
      </w:r>
    </w:p>
    <w:p w:rsidR="009F17BC" w:rsidRPr="00774A3F" w:rsidRDefault="00753BA6" w:rsidP="00774A3F">
      <w:pPr>
        <w:ind w:firstLine="709"/>
        <w:divId w:val="1219056190"/>
        <w:rPr>
          <w:rFonts w:eastAsia="Times New Roman"/>
          <w:b/>
          <w:u w:val="single"/>
        </w:rPr>
      </w:pPr>
      <w:bookmarkStart w:id="8" w:name="_Toc469476246"/>
      <w:bookmarkEnd w:id="8"/>
      <w:r w:rsidRPr="00774A3F">
        <w:rPr>
          <w:rFonts w:eastAsia="Times New Roman"/>
          <w:b/>
          <w:u w:val="single"/>
        </w:rPr>
        <w:t xml:space="preserve">1.5 Классификация туберкулезных </w:t>
      </w:r>
      <w:proofErr w:type="spellStart"/>
      <w:r w:rsidRPr="00774A3F">
        <w:rPr>
          <w:rFonts w:eastAsia="Times New Roman"/>
          <w:b/>
          <w:u w:val="single"/>
        </w:rPr>
        <w:t>увеитов</w:t>
      </w:r>
      <w:proofErr w:type="spellEnd"/>
    </w:p>
    <w:p w:rsidR="009F17BC" w:rsidRDefault="00753BA6">
      <w:pPr>
        <w:pStyle w:val="afa"/>
        <w:divId w:val="1219056190"/>
        <w:rPr>
          <w:rFonts w:eastAsiaTheme="minorEastAsia"/>
        </w:rPr>
      </w:pPr>
      <w:r>
        <w:t xml:space="preserve">Предложена классификация туберкулезных </w:t>
      </w:r>
      <w:proofErr w:type="spellStart"/>
      <w:r>
        <w:t>увеитов</w:t>
      </w:r>
      <w:proofErr w:type="spellEnd"/>
      <w:r>
        <w:t xml:space="preserve"> по анатомической локализации, механизму развития, преобладающему типу воспалительной реакции, течению, фазам и отношению к микобактериям туберкулеза при различных формах (табл. 1).</w:t>
      </w:r>
    </w:p>
    <w:p w:rsidR="009F17BC" w:rsidRDefault="00753BA6">
      <w:pPr>
        <w:pStyle w:val="afa"/>
        <w:divId w:val="1219056190"/>
      </w:pPr>
      <w:r>
        <w:rPr>
          <w:rStyle w:val="aff8"/>
        </w:rPr>
        <w:t xml:space="preserve">Таблица 1 Классификация туберкулезных </w:t>
      </w:r>
      <w:proofErr w:type="spellStart"/>
      <w:r>
        <w:rPr>
          <w:rStyle w:val="aff8"/>
        </w:rPr>
        <w:t>увеитов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3374"/>
        <w:gridCol w:w="3086"/>
      </w:tblGrid>
      <w:tr w:rsidR="009F17BC" w:rsidTr="00762EA9">
        <w:trPr>
          <w:divId w:val="1219056190"/>
        </w:trPr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8"/>
              </w:rPr>
              <w:t> </w:t>
            </w:r>
            <w:r>
              <w:t>По анатомической локализации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Передние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Ирит</w:t>
            </w:r>
          </w:p>
          <w:p w:rsidR="009F17BC" w:rsidRDefault="00753BA6">
            <w:pPr>
              <w:pStyle w:val="afa"/>
            </w:pPr>
            <w:r>
              <w:t>Циклит передний (передняя порция цилиарного тела)</w:t>
            </w:r>
          </w:p>
          <w:p w:rsidR="009F17BC" w:rsidRDefault="00753BA6">
            <w:pPr>
              <w:pStyle w:val="afa"/>
            </w:pPr>
            <w:r>
              <w:t>Иридоциклит</w:t>
            </w:r>
          </w:p>
          <w:p w:rsidR="009F17BC" w:rsidRDefault="00753BA6">
            <w:pPr>
              <w:pStyle w:val="afa"/>
            </w:pPr>
            <w:proofErr w:type="spellStart"/>
            <w:r>
              <w:t>Увеасклерит</w:t>
            </w:r>
            <w:proofErr w:type="spellEnd"/>
          </w:p>
          <w:p w:rsidR="009F17BC" w:rsidRDefault="00753BA6">
            <w:pPr>
              <w:pStyle w:val="afa"/>
            </w:pPr>
            <w:proofErr w:type="spellStart"/>
            <w:r>
              <w:t>Увеакератит</w:t>
            </w:r>
            <w:proofErr w:type="spellEnd"/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Срединные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Циклит задний</w:t>
            </w:r>
          </w:p>
          <w:p w:rsidR="009F17BC" w:rsidRDefault="00753BA6">
            <w:pPr>
              <w:pStyle w:val="afa"/>
            </w:pPr>
            <w:proofErr w:type="spellStart"/>
            <w:r>
              <w:t>Парспланит</w:t>
            </w:r>
            <w:proofErr w:type="spellEnd"/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Задние (фокальный, мультифокальный, диссеминированный)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t>Хориоидит</w:t>
            </w:r>
            <w:proofErr w:type="spellEnd"/>
            <w:r>
              <w:t>,</w:t>
            </w:r>
          </w:p>
          <w:p w:rsidR="009F17BC" w:rsidRDefault="00753BA6">
            <w:pPr>
              <w:pStyle w:val="afa"/>
            </w:pPr>
            <w:proofErr w:type="spellStart"/>
            <w:r>
              <w:t>Хориоретинит</w:t>
            </w:r>
            <w:proofErr w:type="spellEnd"/>
          </w:p>
          <w:p w:rsidR="009F17BC" w:rsidRDefault="00753BA6">
            <w:pPr>
              <w:pStyle w:val="afa"/>
            </w:pPr>
            <w:r>
              <w:t>Ретинит</w:t>
            </w:r>
          </w:p>
          <w:p w:rsidR="009F17BC" w:rsidRDefault="00753BA6">
            <w:pPr>
              <w:pStyle w:val="afa"/>
            </w:pPr>
            <w:proofErr w:type="spellStart"/>
            <w:r>
              <w:t>Ретиноваскулит</w:t>
            </w:r>
            <w:proofErr w:type="spellEnd"/>
          </w:p>
          <w:p w:rsidR="009F17BC" w:rsidRDefault="00753BA6">
            <w:pPr>
              <w:pStyle w:val="afa"/>
            </w:pPr>
            <w:proofErr w:type="spellStart"/>
            <w:r>
              <w:t>Ретинохориоидит</w:t>
            </w:r>
            <w:proofErr w:type="spellEnd"/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t>Генерализованные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t>панувеит</w:t>
            </w:r>
            <w:proofErr w:type="spellEnd"/>
          </w:p>
        </w:tc>
      </w:tr>
      <w:tr w:rsidR="009F17BC" w:rsidTr="00762EA9">
        <w:trPr>
          <w:divId w:val="1219056190"/>
        </w:trPr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По механизму развития</w:t>
            </w: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Метастатический (гематогенно- диссеминированный)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Туберкулезно-аллергический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Изолированный глазной</w:t>
            </w:r>
          </w:p>
        </w:tc>
      </w:tr>
      <w:tr w:rsidR="009F17BC" w:rsidTr="00762EA9">
        <w:trPr>
          <w:divId w:val="1219056190"/>
        </w:trPr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По преобладающему типу </w:t>
            </w:r>
            <w:r>
              <w:lastRenderedPageBreak/>
              <w:t>воспалительной реакции</w:t>
            </w: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lastRenderedPageBreak/>
              <w:t>Пролиферация без выраженного воспаления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Выраженное воспаление с активной экссудацией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Смешанный</w:t>
            </w:r>
          </w:p>
        </w:tc>
      </w:tr>
      <w:tr w:rsidR="009F17BC" w:rsidTr="00762EA9">
        <w:trPr>
          <w:divId w:val="1219056190"/>
        </w:trPr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По течению</w:t>
            </w: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Острое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Хроническое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Рецидивирующее</w:t>
            </w:r>
          </w:p>
        </w:tc>
      </w:tr>
      <w:tr w:rsidR="009F17BC" w:rsidTr="00762EA9">
        <w:trPr>
          <w:divId w:val="1219056190"/>
        </w:trPr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По фазам</w:t>
            </w: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Активная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Обратного развития (стихание)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Ремиссия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Клиническое выздоровление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Рецидив</w:t>
            </w:r>
          </w:p>
        </w:tc>
      </w:tr>
      <w:tr w:rsidR="009F17BC" w:rsidTr="00762EA9">
        <w:trPr>
          <w:divId w:val="1219056190"/>
        </w:trPr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По отношению к микобактериям туберкулеза при различных формах туберкулеза</w:t>
            </w: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 выделением микобактерий туберкулеза (МБТ+)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Без выделения микобактерий туберкулеза (МБТ-)</w:t>
            </w:r>
          </w:p>
        </w:tc>
      </w:tr>
      <w:tr w:rsidR="009F17BC" w:rsidTr="00762EA9">
        <w:trPr>
          <w:divId w:val="1219056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6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 формированием лекарственной устойчивости микобактерий к противотуберкулезным препаратам</w:t>
            </w:r>
          </w:p>
        </w:tc>
      </w:tr>
    </w:tbl>
    <w:p w:rsidR="009F17BC" w:rsidRDefault="002E36E0" w:rsidP="002E36E0">
      <w:pPr>
        <w:tabs>
          <w:tab w:val="left" w:pos="1560"/>
        </w:tabs>
        <w:divId w:val="1219056190"/>
        <w:rPr>
          <w:rFonts w:eastAsia="Times New Roman"/>
        </w:rPr>
      </w:pPr>
      <w:r>
        <w:rPr>
          <w:rFonts w:eastAsia="Times New Roman"/>
        </w:rPr>
        <w:tab/>
        <w:t xml:space="preserve"> </w:t>
      </w:r>
    </w:p>
    <w:p w:rsidR="002E36E0" w:rsidRDefault="002E36E0" w:rsidP="00AF4139">
      <w:pPr>
        <w:ind w:firstLine="709"/>
        <w:divId w:val="1219056190"/>
        <w:rPr>
          <w:rFonts w:eastAsia="Times New Roman"/>
          <w:b/>
          <w:u w:val="single"/>
        </w:rPr>
      </w:pPr>
      <w:r w:rsidRPr="00AF4139">
        <w:rPr>
          <w:rFonts w:eastAsia="Times New Roman"/>
          <w:b/>
          <w:u w:val="single"/>
        </w:rPr>
        <w:t xml:space="preserve">1.6 Клиническая </w:t>
      </w:r>
      <w:r w:rsidR="00AF4139" w:rsidRPr="00AF4139">
        <w:rPr>
          <w:rFonts w:eastAsia="Times New Roman"/>
          <w:b/>
          <w:u w:val="single"/>
        </w:rPr>
        <w:t>картина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t xml:space="preserve">Туберкулезные поражения </w:t>
      </w:r>
      <w:proofErr w:type="spellStart"/>
      <w:r w:rsidRPr="008D49D8">
        <w:t>увеального</w:t>
      </w:r>
      <w:proofErr w:type="spellEnd"/>
      <w:r w:rsidRPr="008D49D8">
        <w:t xml:space="preserve"> тракта отли</w:t>
      </w:r>
      <w:r w:rsidRPr="008D49D8">
        <w:softHyphen/>
        <w:t>чаются большим полиморфизмом, который зависит от различной вирулентности возбудителя, резистентности к нему больного, а также той или иной степени выраженности аллергического компонента.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t>В связи с тем, что достоверный диагноз туберкулез</w:t>
      </w:r>
      <w:r w:rsidRPr="008D49D8">
        <w:softHyphen/>
        <w:t xml:space="preserve">ного </w:t>
      </w:r>
      <w:proofErr w:type="spellStart"/>
      <w:r w:rsidRPr="008D49D8">
        <w:t>увеита</w:t>
      </w:r>
      <w:proofErr w:type="spellEnd"/>
      <w:r w:rsidRPr="008D49D8">
        <w:t xml:space="preserve"> в обычной поликлинической и клинической практике устанавливается относительно редко, больные, перед тем как они поступают в специализированные лечебные учреждения, получают широкий спектр препаратов (антибиотики, сульфаниламиды, массивные дозы кортикостероидов и др.) и клиническая картина измене</w:t>
      </w:r>
      <w:r w:rsidRPr="008D49D8">
        <w:softHyphen/>
        <w:t xml:space="preserve">ний </w:t>
      </w:r>
      <w:proofErr w:type="spellStart"/>
      <w:r w:rsidRPr="008D49D8">
        <w:t>хориоидеи</w:t>
      </w:r>
      <w:proofErr w:type="spellEnd"/>
      <w:r w:rsidRPr="008D49D8">
        <w:t xml:space="preserve"> теряет свою специфичность. Считавшиеся ра</w:t>
      </w:r>
      <w:r w:rsidRPr="008D49D8">
        <w:softHyphen/>
        <w:t>нее в определенной мере патогномоничными для опыт</w:t>
      </w:r>
      <w:r w:rsidRPr="008D49D8">
        <w:softHyphen/>
        <w:t xml:space="preserve">ного клинициста черты туберкулезного </w:t>
      </w:r>
      <w:proofErr w:type="spellStart"/>
      <w:r w:rsidRPr="008D49D8">
        <w:t>увеита</w:t>
      </w:r>
      <w:proofErr w:type="spellEnd"/>
      <w:r w:rsidRPr="008D49D8">
        <w:t>, сейчас в значительной степени утрачены и диагноз, основы</w:t>
      </w:r>
      <w:r w:rsidRPr="008D49D8">
        <w:softHyphen/>
        <w:t>вающийся только на биомикроскопических или офталь</w:t>
      </w:r>
      <w:r w:rsidRPr="008D49D8">
        <w:softHyphen/>
        <w:t xml:space="preserve">москопических данных, должен вызывать обоснованные сомнения. Однако, обнаружение во внутриглазных жидкостях и тканях глаза микобактерий туберкулеза позволяет со стопроцентной уверенностью поставить этиологический диагноз.  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rPr>
          <w:b/>
        </w:rPr>
        <w:t>Жалобы</w:t>
      </w:r>
      <w:r w:rsidRPr="008D49D8">
        <w:t xml:space="preserve">. Обусловлены стадией процесса, его выраженностью и анатомической локализацией. Так при остром переднем </w:t>
      </w:r>
      <w:proofErr w:type="spellStart"/>
      <w:r w:rsidRPr="008D49D8">
        <w:t>увеите</w:t>
      </w:r>
      <w:proofErr w:type="spellEnd"/>
      <w:r w:rsidRPr="008D49D8">
        <w:t xml:space="preserve"> пациенты предъявляют жалобы на покраснение глаза, затуманивание, боли в области цилиарного тела, при повышении внутриглазного давления – в лобно-височной области, при вовлечении </w:t>
      </w:r>
      <w:proofErr w:type="spellStart"/>
      <w:r w:rsidRPr="008D49D8">
        <w:t>макулярной</w:t>
      </w:r>
      <w:proofErr w:type="spellEnd"/>
      <w:r w:rsidRPr="008D49D8">
        <w:t xml:space="preserve"> зоны отмечают снижение остроты зрения. При заднем </w:t>
      </w:r>
      <w:proofErr w:type="spellStart"/>
      <w:r w:rsidRPr="008D49D8">
        <w:t>увеите</w:t>
      </w:r>
      <w:proofErr w:type="spellEnd"/>
      <w:r w:rsidRPr="008D49D8">
        <w:t xml:space="preserve"> с локализацией воспалительных фокусов в заднем полюсе пациенты отмечают появление тумана и быстрое снижение </w:t>
      </w:r>
      <w:r w:rsidRPr="008D49D8">
        <w:lastRenderedPageBreak/>
        <w:t xml:space="preserve">зрения. При периферических воспалительных очагах больные могут предъявлять длительно жалобы на плавающие точки перед глазом. Резкое снижение зрения нередко обусловлено появлением </w:t>
      </w:r>
      <w:proofErr w:type="spellStart"/>
      <w:r w:rsidRPr="008D49D8">
        <w:t>интравитреальных</w:t>
      </w:r>
      <w:proofErr w:type="spellEnd"/>
      <w:r w:rsidRPr="008D49D8">
        <w:t xml:space="preserve"> геморрагий, окклюзией </w:t>
      </w:r>
      <w:proofErr w:type="spellStart"/>
      <w:r w:rsidRPr="008D49D8">
        <w:t>ретинальных</w:t>
      </w:r>
      <w:proofErr w:type="spellEnd"/>
      <w:r w:rsidRPr="008D49D8">
        <w:t xml:space="preserve"> вен и развитием неврита зрительного нерва. Таким образом, можно констатировать, что при туберкулезных </w:t>
      </w:r>
      <w:proofErr w:type="spellStart"/>
      <w:r w:rsidRPr="008D49D8">
        <w:t>увеальных</w:t>
      </w:r>
      <w:proofErr w:type="spellEnd"/>
      <w:r w:rsidRPr="008D49D8">
        <w:t xml:space="preserve"> процессах специфические жалобы отсутствуют.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rPr>
          <w:b/>
        </w:rPr>
        <w:t>Анамнез.</w:t>
      </w:r>
      <w:r w:rsidRPr="008D49D8">
        <w:t xml:space="preserve"> При сборе анамнеза необходимо обращать внимание на наличие у пациента туберкулеза в прошлом, длительный контакт с больными туберкулезом, особенно с открытой формой, имеющиеся сопутствующие заболевания (ВИЧ, сахарный диабет, язвенная болезнь желудка и 12-ти перстной кишки, воспалительные поражения печени и почек, а также неблагоприятные социально-экономические факторы, курение, наркомания, алкоголизм). Необходимо уточнить, получал ли ранее больной длительную кортикостероидную или иную </w:t>
      </w:r>
      <w:proofErr w:type="spellStart"/>
      <w:r w:rsidRPr="008D49D8">
        <w:t>иммуносупрессивную</w:t>
      </w:r>
      <w:proofErr w:type="spellEnd"/>
      <w:r w:rsidRPr="008D49D8">
        <w:t xml:space="preserve"> терапию. Также следует отметить не входит ли пациент в группу риска заболевания туберкулезом (бывший заключенный, шахтер, медицинский работник и др.), не находился ли в регионах эндемичных по туберкулезу.</w:t>
      </w:r>
    </w:p>
    <w:p w:rsidR="00AF4139" w:rsidRPr="008D49D8" w:rsidRDefault="00AF4139" w:rsidP="00AF4139">
      <w:pPr>
        <w:pStyle w:val="3"/>
        <w:ind w:left="0" w:firstLine="709"/>
        <w:jc w:val="both"/>
        <w:divId w:val="1219056190"/>
        <w:rPr>
          <w:sz w:val="24"/>
          <w:szCs w:val="24"/>
        </w:rPr>
      </w:pPr>
      <w:r w:rsidRPr="008D49D8">
        <w:rPr>
          <w:sz w:val="24"/>
          <w:szCs w:val="24"/>
        </w:rPr>
        <w:t xml:space="preserve">При описании разновидностей проявления туберкулеза </w:t>
      </w:r>
      <w:proofErr w:type="spellStart"/>
      <w:r w:rsidRPr="008D49D8">
        <w:rPr>
          <w:sz w:val="24"/>
          <w:szCs w:val="24"/>
        </w:rPr>
        <w:t>увеаль</w:t>
      </w:r>
      <w:r w:rsidRPr="008D49D8">
        <w:rPr>
          <w:sz w:val="24"/>
          <w:szCs w:val="24"/>
        </w:rPr>
        <w:softHyphen/>
        <w:t>ного</w:t>
      </w:r>
      <w:proofErr w:type="spellEnd"/>
      <w:r w:rsidRPr="008D49D8">
        <w:rPr>
          <w:sz w:val="24"/>
          <w:szCs w:val="24"/>
        </w:rPr>
        <w:t xml:space="preserve"> тракта следует учитывать, что их типичность, укладывающаяся в определенную клиническую картину, может утрачиваться как в связи с изменением рези</w:t>
      </w:r>
      <w:r w:rsidRPr="008D49D8">
        <w:rPr>
          <w:sz w:val="24"/>
          <w:szCs w:val="24"/>
        </w:rPr>
        <w:softHyphen/>
        <w:t>стентности и степени аллергии, так и в зависимости от изменения структуры первичных поражений, происходя</w:t>
      </w:r>
      <w:r w:rsidRPr="008D49D8">
        <w:rPr>
          <w:sz w:val="24"/>
          <w:szCs w:val="24"/>
        </w:rPr>
        <w:softHyphen/>
        <w:t>щих под влиянием проводившегося лечения. Первичные по</w:t>
      </w:r>
      <w:r w:rsidRPr="008D49D8">
        <w:rPr>
          <w:sz w:val="24"/>
          <w:szCs w:val="24"/>
        </w:rPr>
        <w:softHyphen/>
        <w:t xml:space="preserve">ражения </w:t>
      </w:r>
      <w:proofErr w:type="spellStart"/>
      <w:r w:rsidRPr="008D49D8">
        <w:rPr>
          <w:sz w:val="24"/>
          <w:szCs w:val="24"/>
        </w:rPr>
        <w:t>увеального</w:t>
      </w:r>
      <w:proofErr w:type="spellEnd"/>
      <w:r w:rsidRPr="008D49D8">
        <w:rPr>
          <w:sz w:val="24"/>
          <w:szCs w:val="24"/>
        </w:rPr>
        <w:t xml:space="preserve"> тракта редко локализуются в радужной</w:t>
      </w:r>
      <w:r w:rsidRPr="008D49D8">
        <w:rPr>
          <w:smallCaps/>
          <w:sz w:val="24"/>
          <w:szCs w:val="24"/>
        </w:rPr>
        <w:t xml:space="preserve"> </w:t>
      </w:r>
      <w:r w:rsidRPr="008D49D8">
        <w:rPr>
          <w:sz w:val="24"/>
          <w:szCs w:val="24"/>
        </w:rPr>
        <w:t xml:space="preserve">оболочке, значительно чаще – в </w:t>
      </w:r>
      <w:proofErr w:type="spellStart"/>
      <w:r w:rsidRPr="008D49D8">
        <w:rPr>
          <w:sz w:val="24"/>
          <w:szCs w:val="24"/>
        </w:rPr>
        <w:t>хориоидее</w:t>
      </w:r>
      <w:proofErr w:type="spellEnd"/>
      <w:r w:rsidRPr="008D49D8">
        <w:rPr>
          <w:sz w:val="24"/>
          <w:szCs w:val="24"/>
        </w:rPr>
        <w:t>, особенно в ее задней половине, в области распределения задних цилиарных артерий.</w:t>
      </w:r>
    </w:p>
    <w:p w:rsidR="00AF4139" w:rsidRDefault="00AF4139" w:rsidP="00AF4139">
      <w:pPr>
        <w:ind w:firstLine="709"/>
        <w:jc w:val="both"/>
        <w:divId w:val="1219056190"/>
      </w:pPr>
      <w:r w:rsidRPr="008D49D8">
        <w:rPr>
          <w:b/>
        </w:rPr>
        <w:t xml:space="preserve">Передний </w:t>
      </w:r>
      <w:proofErr w:type="spellStart"/>
      <w:r w:rsidRPr="008D49D8">
        <w:rPr>
          <w:b/>
        </w:rPr>
        <w:t>увеит</w:t>
      </w:r>
      <w:proofErr w:type="spellEnd"/>
      <w:r w:rsidRPr="008D49D8">
        <w:rPr>
          <w:b/>
        </w:rPr>
        <w:t>.</w:t>
      </w:r>
      <w:r w:rsidRPr="008D49D8">
        <w:t xml:space="preserve"> Включает в себя ирит, передний циклит (при страдании передней порции цилиарного тела) и иридоциклит. Для острого туберкулезного иридоциклита</w:t>
      </w:r>
      <w:r w:rsidR="00762EA9">
        <w:t xml:space="preserve"> </w:t>
      </w:r>
      <w:r w:rsidRPr="008D49D8">
        <w:t xml:space="preserve">характерна </w:t>
      </w:r>
      <w:proofErr w:type="spellStart"/>
      <w:r w:rsidRPr="008D49D8">
        <w:t>перикорнеальная</w:t>
      </w:r>
      <w:proofErr w:type="spellEnd"/>
      <w:r w:rsidRPr="008D49D8">
        <w:t xml:space="preserve"> инъекция, мощные роговичные преципитаты, сочетающиеся с множественными ма</w:t>
      </w:r>
      <w:r w:rsidRPr="008D49D8">
        <w:softHyphen/>
        <w:t>ленькими серовато-желтыми узелками на радужке, особенно вблизи ее корня.  Иногда воспалительный процесс начинается с диффузного ирита, кото</w:t>
      </w:r>
      <w:r w:rsidRPr="008D49D8">
        <w:softHyphen/>
        <w:t>рый трудно дифференцировать с неспецифическим, лишь позже могут появиться характерные узелки. Хронический туберкулез радужной оболочки имеет длительное и относительно доброкачественное течение. Строма радужки покрыта множественны</w:t>
      </w:r>
      <w:r w:rsidRPr="008D49D8">
        <w:softHyphen/>
        <w:t xml:space="preserve">ми </w:t>
      </w:r>
      <w:proofErr w:type="spellStart"/>
      <w:r w:rsidRPr="008D49D8">
        <w:t>нодулярными</w:t>
      </w:r>
      <w:proofErr w:type="spellEnd"/>
      <w:r w:rsidRPr="008D49D8">
        <w:t xml:space="preserve"> гранулемами, которые часто со</w:t>
      </w:r>
      <w:r w:rsidRPr="008D49D8">
        <w:softHyphen/>
        <w:t>бираются в области малого артериального круга, вбли</w:t>
      </w:r>
      <w:r w:rsidRPr="008D49D8">
        <w:softHyphen/>
        <w:t>зи зрачкового края или угла передней камеры глаза. Их появлению обычно предшествует диффузный экссудативный ирит, иногда с геморрагическими экстравазатами. Может наблюдаться диффузная экс</w:t>
      </w:r>
      <w:r w:rsidRPr="008D49D8">
        <w:softHyphen/>
        <w:t xml:space="preserve">судация, которая иногда переходит в </w:t>
      </w:r>
      <w:proofErr w:type="spellStart"/>
      <w:r w:rsidRPr="008D49D8">
        <w:t>гипопион</w:t>
      </w:r>
      <w:proofErr w:type="spellEnd"/>
      <w:r w:rsidRPr="008D49D8">
        <w:t>. В легких случаях воспалительный процесс опреде</w:t>
      </w:r>
      <w:r w:rsidRPr="008D49D8">
        <w:softHyphen/>
        <w:t xml:space="preserve">ляется с трудом. Так, на фоне почти </w:t>
      </w:r>
      <w:r w:rsidRPr="008D49D8">
        <w:lastRenderedPageBreak/>
        <w:t>бессимптомного начала появляются небольшие серые образо</w:t>
      </w:r>
      <w:r w:rsidRPr="008D49D8">
        <w:softHyphen/>
        <w:t>вания в строме радужной оболочки, которые постепен</w:t>
      </w:r>
      <w:r w:rsidRPr="008D49D8">
        <w:softHyphen/>
        <w:t>но увеличиваются в диаметре до 1–2 мм. При этом цвет их изменяется до желтого и развивается поверх</w:t>
      </w:r>
      <w:r w:rsidRPr="008D49D8">
        <w:softHyphen/>
        <w:t xml:space="preserve">ностная </w:t>
      </w:r>
      <w:proofErr w:type="spellStart"/>
      <w:r w:rsidRPr="008D49D8">
        <w:t>неоваскуляризация</w:t>
      </w:r>
      <w:proofErr w:type="spellEnd"/>
      <w:r w:rsidRPr="008D49D8">
        <w:t>. Процесс может оканчиваться разрешением (узелки подвергаются полному рассасыванию) или по</w:t>
      </w:r>
      <w:r w:rsidRPr="008D49D8">
        <w:softHyphen/>
        <w:t>терей глаза как функционального органа через несколь</w:t>
      </w:r>
      <w:r w:rsidRPr="008D49D8">
        <w:softHyphen/>
        <w:t xml:space="preserve">ко месяцев. При значительной деструкции ткани выявляются атрофические участки стромы и мелкие </w:t>
      </w:r>
      <w:proofErr w:type="spellStart"/>
      <w:r w:rsidRPr="008D49D8">
        <w:t>гиалинизированные</w:t>
      </w:r>
      <w:proofErr w:type="spellEnd"/>
      <w:r w:rsidRPr="008D49D8">
        <w:t xml:space="preserve"> или фиброзные рубцы (пятна </w:t>
      </w:r>
      <w:proofErr w:type="spellStart"/>
      <w:r w:rsidRPr="008D49D8">
        <w:t>Михеля</w:t>
      </w:r>
      <w:proofErr w:type="spellEnd"/>
      <w:r w:rsidRPr="008D49D8">
        <w:t>). Иногда заболевание начинается с выражен</w:t>
      </w:r>
      <w:r w:rsidRPr="008D49D8">
        <w:softHyphen/>
        <w:t xml:space="preserve">ного пластического ирита, но чаще симптомы выражены слабо и процесс не диагностируется до тех пор, пока не станет клинически очевидным, однако это соответствует уже далеко зашедшей стадии. При исследовании определяются легкая цилиарная инъекция, немного больших жирных роговичных преципитатов и обычно 1–2 полупрозрачных узелка </w:t>
      </w:r>
      <w:proofErr w:type="spellStart"/>
      <w:r w:rsidRPr="008D49D8">
        <w:t>Кеппе</w:t>
      </w:r>
      <w:proofErr w:type="spellEnd"/>
      <w:r w:rsidRPr="008D49D8">
        <w:t xml:space="preserve"> по зрачковому краю. Заболевание имеет вялое течение, вызывая небольшое снижение зрения, осложняется вторичной глаукомой. </w:t>
      </w:r>
    </w:p>
    <w:p w:rsidR="00AF4139" w:rsidRPr="00AF4139" w:rsidRDefault="00AF4139" w:rsidP="00AF4139">
      <w:pPr>
        <w:ind w:firstLine="709"/>
        <w:jc w:val="both"/>
        <w:divId w:val="1219056190"/>
      </w:pPr>
      <w:proofErr w:type="spellStart"/>
      <w:r w:rsidRPr="008D49D8">
        <w:rPr>
          <w:szCs w:val="24"/>
        </w:rPr>
        <w:t>Конглобированный</w:t>
      </w:r>
      <w:proofErr w:type="spellEnd"/>
      <w:r w:rsidRPr="008D49D8">
        <w:rPr>
          <w:szCs w:val="24"/>
        </w:rPr>
        <w:t xml:space="preserve"> туберкул клинически выявляется в виде желтой массы, растущей из стромы радужной оболочки. Представлен пролиферирующими и сливающимися между собой туберкулезными узелками, образующими значительных размеров гранулему, которая может быть ошибочно принята за злокачественную опухоль. </w:t>
      </w:r>
      <w:proofErr w:type="spellStart"/>
      <w:r w:rsidRPr="008D49D8">
        <w:rPr>
          <w:szCs w:val="24"/>
        </w:rPr>
        <w:t>Конглобированный</w:t>
      </w:r>
      <w:proofErr w:type="spellEnd"/>
      <w:r w:rsidRPr="008D49D8">
        <w:rPr>
          <w:szCs w:val="24"/>
        </w:rPr>
        <w:t xml:space="preserve"> туберкул интенсивно </w:t>
      </w:r>
      <w:proofErr w:type="spellStart"/>
      <w:r w:rsidRPr="008D49D8">
        <w:rPr>
          <w:szCs w:val="24"/>
        </w:rPr>
        <w:t>васкуляризируется</w:t>
      </w:r>
      <w:proofErr w:type="spellEnd"/>
      <w:r w:rsidRPr="008D49D8">
        <w:rPr>
          <w:szCs w:val="24"/>
        </w:rPr>
        <w:t xml:space="preserve"> поверхностными сосудами и медленно прогрессирует, постепенно заполняя переднюю камеру. Появляется серозно-фибринозный экссудат, геморрагии и казеозный </w:t>
      </w:r>
      <w:proofErr w:type="spellStart"/>
      <w:r w:rsidRPr="008D49D8">
        <w:rPr>
          <w:szCs w:val="24"/>
        </w:rPr>
        <w:t>гипопион</w:t>
      </w:r>
      <w:proofErr w:type="spellEnd"/>
      <w:r w:rsidRPr="008D49D8">
        <w:rPr>
          <w:szCs w:val="24"/>
        </w:rPr>
        <w:t xml:space="preserve">. При вовлечении в процесс угла передней камеры развивается резистентная к лечению вторичная глаукома.  Процесс может остановиться даже в выраженной стадии. Гранулема частично рассасывается, оставляя после себя </w:t>
      </w:r>
      <w:proofErr w:type="spellStart"/>
      <w:r w:rsidRPr="008D49D8">
        <w:rPr>
          <w:szCs w:val="24"/>
        </w:rPr>
        <w:t>атрофичную</w:t>
      </w:r>
      <w:proofErr w:type="spellEnd"/>
      <w:r w:rsidRPr="008D49D8">
        <w:rPr>
          <w:szCs w:val="24"/>
        </w:rPr>
        <w:t xml:space="preserve"> радужную оболочку. Однако чаще заболевание продолжает развиваться. Направление его движения почти всегда вперед, так как цилиарная мышца играет роль барьера для его задней экспансии и таким образом защищает </w:t>
      </w:r>
      <w:proofErr w:type="spellStart"/>
      <w:r w:rsidRPr="008D49D8">
        <w:rPr>
          <w:szCs w:val="24"/>
        </w:rPr>
        <w:t>хориоидею</w:t>
      </w:r>
      <w:proofErr w:type="spellEnd"/>
      <w:r w:rsidRPr="008D49D8">
        <w:rPr>
          <w:szCs w:val="24"/>
        </w:rPr>
        <w:t xml:space="preserve"> и супрахориоидальное пространство. При таком распространении инфекции происходит инфильтрация каналов дренирования внутриглазной жидкости. </w:t>
      </w:r>
    </w:p>
    <w:p w:rsidR="00AF4139" w:rsidRPr="008D49D8" w:rsidRDefault="00AF4139" w:rsidP="00AF4139">
      <w:pPr>
        <w:pStyle w:val="3"/>
        <w:ind w:left="0" w:firstLine="709"/>
        <w:jc w:val="both"/>
        <w:divId w:val="1219056190"/>
        <w:rPr>
          <w:sz w:val="24"/>
          <w:szCs w:val="24"/>
        </w:rPr>
      </w:pPr>
      <w:r w:rsidRPr="008D49D8">
        <w:rPr>
          <w:sz w:val="24"/>
          <w:szCs w:val="24"/>
        </w:rPr>
        <w:t xml:space="preserve">Аллергический   передний туберкулезный </w:t>
      </w:r>
      <w:proofErr w:type="spellStart"/>
      <w:r w:rsidRPr="008D49D8">
        <w:rPr>
          <w:sz w:val="24"/>
          <w:szCs w:val="24"/>
        </w:rPr>
        <w:t>увеит</w:t>
      </w:r>
      <w:proofErr w:type="spellEnd"/>
      <w:r w:rsidRPr="008D49D8">
        <w:rPr>
          <w:sz w:val="24"/>
          <w:szCs w:val="24"/>
        </w:rPr>
        <w:t xml:space="preserve">. Эта форма вызывает сомнения при диагностике. Обычно поражаются оба глаза. По характеру клинического течения различают острый пластический </w:t>
      </w:r>
      <w:proofErr w:type="spellStart"/>
      <w:r w:rsidRPr="008D49D8">
        <w:rPr>
          <w:sz w:val="24"/>
          <w:szCs w:val="24"/>
        </w:rPr>
        <w:t>увеит</w:t>
      </w:r>
      <w:proofErr w:type="spellEnd"/>
      <w:r w:rsidRPr="008D49D8">
        <w:rPr>
          <w:sz w:val="24"/>
          <w:szCs w:val="24"/>
        </w:rPr>
        <w:t xml:space="preserve">, встречающийся главным образом в возрасте до 30 лет и хронический рецидивирующий </w:t>
      </w:r>
      <w:proofErr w:type="spellStart"/>
      <w:r w:rsidRPr="008D49D8">
        <w:rPr>
          <w:sz w:val="24"/>
          <w:szCs w:val="24"/>
        </w:rPr>
        <w:t>увеит</w:t>
      </w:r>
      <w:proofErr w:type="spellEnd"/>
      <w:r w:rsidRPr="008D49D8">
        <w:rPr>
          <w:sz w:val="24"/>
          <w:szCs w:val="24"/>
        </w:rPr>
        <w:t xml:space="preserve">, типичный для лиц более старшей возрастной группы. Для острого переднего пластического </w:t>
      </w:r>
      <w:proofErr w:type="spellStart"/>
      <w:r w:rsidRPr="008D49D8">
        <w:rPr>
          <w:sz w:val="24"/>
          <w:szCs w:val="24"/>
        </w:rPr>
        <w:t>увеита</w:t>
      </w:r>
      <w:proofErr w:type="spellEnd"/>
      <w:r w:rsidRPr="008D49D8">
        <w:rPr>
          <w:sz w:val="24"/>
          <w:szCs w:val="24"/>
        </w:rPr>
        <w:t xml:space="preserve"> характерен </w:t>
      </w:r>
      <w:proofErr w:type="spellStart"/>
      <w:r w:rsidRPr="008D49D8">
        <w:rPr>
          <w:sz w:val="24"/>
          <w:szCs w:val="24"/>
        </w:rPr>
        <w:t>симптомокомплекс</w:t>
      </w:r>
      <w:proofErr w:type="spellEnd"/>
      <w:r w:rsidRPr="008D49D8">
        <w:rPr>
          <w:sz w:val="24"/>
          <w:szCs w:val="24"/>
        </w:rPr>
        <w:t xml:space="preserve"> иридоциклита, но с наличием пластического экссудата и быстрым развитием задних </w:t>
      </w:r>
      <w:proofErr w:type="spellStart"/>
      <w:r w:rsidRPr="008D49D8">
        <w:rPr>
          <w:sz w:val="24"/>
          <w:szCs w:val="24"/>
        </w:rPr>
        <w:t>синехий</w:t>
      </w:r>
      <w:proofErr w:type="spellEnd"/>
      <w:r w:rsidRPr="008D49D8">
        <w:rPr>
          <w:sz w:val="24"/>
          <w:szCs w:val="24"/>
        </w:rPr>
        <w:t xml:space="preserve">. Гранулематозные узелки отсутствуют. Хронический рецидивирующий передний </w:t>
      </w:r>
      <w:proofErr w:type="spellStart"/>
      <w:r w:rsidRPr="008D49D8">
        <w:rPr>
          <w:sz w:val="24"/>
          <w:szCs w:val="24"/>
        </w:rPr>
        <w:t>увеит</w:t>
      </w:r>
      <w:proofErr w:type="spellEnd"/>
      <w:r w:rsidRPr="008D49D8">
        <w:rPr>
          <w:sz w:val="24"/>
          <w:szCs w:val="24"/>
        </w:rPr>
        <w:t xml:space="preserve"> типичен для людей пожилого возраста, особенно женщин старше 50 лет. </w:t>
      </w:r>
      <w:r w:rsidRPr="008D49D8">
        <w:rPr>
          <w:sz w:val="24"/>
          <w:szCs w:val="24"/>
        </w:rPr>
        <w:lastRenderedPageBreak/>
        <w:t xml:space="preserve">Иридоциклит протекает со значительной экссудацией, крупными </w:t>
      </w:r>
      <w:proofErr w:type="spellStart"/>
      <w:r w:rsidRPr="008D49D8">
        <w:rPr>
          <w:sz w:val="24"/>
          <w:szCs w:val="24"/>
        </w:rPr>
        <w:t>хлопкообразными</w:t>
      </w:r>
      <w:proofErr w:type="spellEnd"/>
      <w:r w:rsidRPr="008D49D8">
        <w:rPr>
          <w:sz w:val="24"/>
          <w:szCs w:val="24"/>
        </w:rPr>
        <w:t xml:space="preserve"> преципитатами на задней поверхности роговицы, массивными </w:t>
      </w:r>
      <w:proofErr w:type="spellStart"/>
      <w:r w:rsidRPr="008D49D8">
        <w:rPr>
          <w:sz w:val="24"/>
          <w:szCs w:val="24"/>
        </w:rPr>
        <w:t>синехиями</w:t>
      </w:r>
      <w:proofErr w:type="spellEnd"/>
      <w:r w:rsidRPr="008D49D8">
        <w:rPr>
          <w:sz w:val="24"/>
          <w:szCs w:val="24"/>
        </w:rPr>
        <w:t xml:space="preserve">. Отмечается тенденция к развитию окклюзии зрачка. Если в процесс вовлекается </w:t>
      </w:r>
      <w:proofErr w:type="spellStart"/>
      <w:r w:rsidRPr="008D49D8">
        <w:rPr>
          <w:sz w:val="24"/>
          <w:szCs w:val="24"/>
        </w:rPr>
        <w:t>хориоидея</w:t>
      </w:r>
      <w:proofErr w:type="spellEnd"/>
      <w:r w:rsidRPr="008D49D8">
        <w:rPr>
          <w:sz w:val="24"/>
          <w:szCs w:val="24"/>
        </w:rPr>
        <w:t xml:space="preserve">, то в ней, как правило, обнаруживаются диссеминированные фокусы и заболевание становится </w:t>
      </w:r>
      <w:proofErr w:type="spellStart"/>
      <w:r w:rsidRPr="008D49D8">
        <w:rPr>
          <w:sz w:val="24"/>
          <w:szCs w:val="24"/>
        </w:rPr>
        <w:t>генерализованным</w:t>
      </w:r>
      <w:proofErr w:type="spellEnd"/>
      <w:r w:rsidRPr="008D49D8">
        <w:rPr>
          <w:sz w:val="24"/>
          <w:szCs w:val="24"/>
        </w:rPr>
        <w:t>.</w:t>
      </w:r>
    </w:p>
    <w:p w:rsidR="00AF4139" w:rsidRPr="008D49D8" w:rsidRDefault="00AF4139" w:rsidP="00AF4139">
      <w:pPr>
        <w:pStyle w:val="3"/>
        <w:ind w:left="0" w:firstLine="709"/>
        <w:jc w:val="both"/>
        <w:divId w:val="1219056190"/>
        <w:rPr>
          <w:sz w:val="24"/>
          <w:szCs w:val="24"/>
          <w:shd w:val="clear" w:color="auto" w:fill="FFFFFF"/>
        </w:rPr>
      </w:pPr>
      <w:proofErr w:type="spellStart"/>
      <w:r w:rsidRPr="008D49D8">
        <w:rPr>
          <w:sz w:val="24"/>
          <w:szCs w:val="24"/>
        </w:rPr>
        <w:t>Увеакератит</w:t>
      </w:r>
      <w:proofErr w:type="spellEnd"/>
      <w:r w:rsidRPr="008D49D8">
        <w:rPr>
          <w:sz w:val="24"/>
          <w:szCs w:val="24"/>
          <w:shd w:val="clear" w:color="auto" w:fill="FFFFFF"/>
        </w:rPr>
        <w:t xml:space="preserve"> развивается при заносе микобактерий туберкулеза из очагов, находящихся в цилиарном теле и радужке в роговую оболочку.</w:t>
      </w:r>
    </w:p>
    <w:p w:rsidR="00AF4139" w:rsidRPr="008D49D8" w:rsidRDefault="00AF4139" w:rsidP="00AF4139">
      <w:pPr>
        <w:pStyle w:val="3"/>
        <w:ind w:left="0" w:firstLine="709"/>
        <w:jc w:val="both"/>
        <w:divId w:val="1219056190"/>
        <w:rPr>
          <w:sz w:val="24"/>
          <w:szCs w:val="24"/>
        </w:rPr>
      </w:pPr>
      <w:proofErr w:type="spellStart"/>
      <w:r w:rsidRPr="008D49D8">
        <w:rPr>
          <w:sz w:val="24"/>
          <w:szCs w:val="24"/>
          <w:shd w:val="clear" w:color="auto" w:fill="FFFFFF"/>
        </w:rPr>
        <w:t>Увеасклерит</w:t>
      </w:r>
      <w:proofErr w:type="spellEnd"/>
      <w:r w:rsidRPr="008D49D8">
        <w:rPr>
          <w:sz w:val="24"/>
          <w:szCs w:val="24"/>
          <w:shd w:val="clear" w:color="auto" w:fill="FFFFFF"/>
        </w:rPr>
        <w:t xml:space="preserve"> формируется при распространении специфического процесса на склеру.</w:t>
      </w:r>
    </w:p>
    <w:p w:rsidR="00AF4139" w:rsidRPr="008D49D8" w:rsidRDefault="00AF4139" w:rsidP="00AF4139">
      <w:pPr>
        <w:pStyle w:val="3"/>
        <w:ind w:left="0" w:firstLine="709"/>
        <w:jc w:val="both"/>
        <w:divId w:val="1219056190"/>
        <w:rPr>
          <w:sz w:val="24"/>
          <w:szCs w:val="24"/>
        </w:rPr>
      </w:pPr>
      <w:r w:rsidRPr="008D49D8">
        <w:rPr>
          <w:b/>
          <w:sz w:val="24"/>
          <w:szCs w:val="24"/>
        </w:rPr>
        <w:t xml:space="preserve">Срединный </w:t>
      </w:r>
      <w:proofErr w:type="spellStart"/>
      <w:r w:rsidRPr="008D49D8">
        <w:rPr>
          <w:b/>
          <w:sz w:val="24"/>
          <w:szCs w:val="24"/>
        </w:rPr>
        <w:t>увеит</w:t>
      </w:r>
      <w:proofErr w:type="spellEnd"/>
      <w:r w:rsidRPr="008D49D8">
        <w:rPr>
          <w:b/>
          <w:sz w:val="24"/>
          <w:szCs w:val="24"/>
        </w:rPr>
        <w:t xml:space="preserve"> </w:t>
      </w:r>
      <w:r w:rsidRPr="008D49D8">
        <w:rPr>
          <w:sz w:val="24"/>
          <w:szCs w:val="24"/>
        </w:rPr>
        <w:t xml:space="preserve">(задний циклит, </w:t>
      </w:r>
      <w:proofErr w:type="spellStart"/>
      <w:r w:rsidRPr="008D49D8">
        <w:rPr>
          <w:sz w:val="24"/>
          <w:szCs w:val="24"/>
        </w:rPr>
        <w:t>парспланит</w:t>
      </w:r>
      <w:proofErr w:type="spellEnd"/>
      <w:r w:rsidRPr="008D49D8">
        <w:rPr>
          <w:sz w:val="24"/>
          <w:szCs w:val="24"/>
        </w:rPr>
        <w:t>). Цилиарное тело является анатомической зоной локали</w:t>
      </w:r>
      <w:r w:rsidRPr="008D49D8">
        <w:rPr>
          <w:sz w:val="24"/>
          <w:szCs w:val="24"/>
        </w:rPr>
        <w:softHyphen/>
        <w:t>зации относительно доброкачественных хронических форм туберкулеза. Обычно заболевание начинается во внутреннем слое сосудов, находящихся на внутренней поверхности цилиарной мышцы в районе плоской части или короны цилиарного тела. Туберкулезные узелки при их росте разрушают эпи</w:t>
      </w:r>
      <w:r w:rsidRPr="008D49D8">
        <w:rPr>
          <w:sz w:val="24"/>
          <w:szCs w:val="24"/>
        </w:rPr>
        <w:softHyphen/>
        <w:t>телий и проникают в заднюю камеру глаза. Их распро</w:t>
      </w:r>
      <w:r w:rsidRPr="008D49D8">
        <w:rPr>
          <w:sz w:val="24"/>
          <w:szCs w:val="24"/>
        </w:rPr>
        <w:softHyphen/>
        <w:t>странение может проходить по двум направлениям. Движение инфекции вперед во влагу передней камеры глаза с образованием роговичных преципитатов и появлением картины прогрессирую</w:t>
      </w:r>
      <w:r w:rsidRPr="008D49D8">
        <w:rPr>
          <w:sz w:val="24"/>
          <w:szCs w:val="24"/>
        </w:rPr>
        <w:softHyphen/>
        <w:t xml:space="preserve">щего иридоциклита, при переходе процесса на радужную оболочку. При распространении инфекции в заднем направлении через стекловидное тело и </w:t>
      </w:r>
      <w:proofErr w:type="spellStart"/>
      <w:r w:rsidRPr="008D49D8">
        <w:rPr>
          <w:sz w:val="24"/>
          <w:szCs w:val="24"/>
        </w:rPr>
        <w:t>периваскулярные</w:t>
      </w:r>
      <w:proofErr w:type="spellEnd"/>
      <w:r w:rsidRPr="008D49D8">
        <w:rPr>
          <w:sz w:val="24"/>
          <w:szCs w:val="24"/>
        </w:rPr>
        <w:t xml:space="preserve"> пространства </w:t>
      </w:r>
      <w:proofErr w:type="spellStart"/>
      <w:r w:rsidRPr="008D49D8">
        <w:rPr>
          <w:sz w:val="24"/>
          <w:szCs w:val="24"/>
        </w:rPr>
        <w:t>ретинальных</w:t>
      </w:r>
      <w:proofErr w:type="spellEnd"/>
      <w:r w:rsidRPr="008D49D8">
        <w:rPr>
          <w:sz w:val="24"/>
          <w:szCs w:val="24"/>
        </w:rPr>
        <w:t xml:space="preserve"> вен формируется </w:t>
      </w:r>
      <w:proofErr w:type="spellStart"/>
      <w:r w:rsidRPr="008D49D8">
        <w:rPr>
          <w:sz w:val="24"/>
          <w:szCs w:val="24"/>
        </w:rPr>
        <w:t>периваскулит</w:t>
      </w:r>
      <w:proofErr w:type="spellEnd"/>
      <w:r w:rsidRPr="008D49D8">
        <w:rPr>
          <w:sz w:val="24"/>
          <w:szCs w:val="24"/>
        </w:rPr>
        <w:t xml:space="preserve"> с повторяющимися геморрагиями. Процесс может переходить и на зрительный нерв, тогда развивается </w:t>
      </w:r>
      <w:proofErr w:type="spellStart"/>
      <w:r w:rsidRPr="008D49D8">
        <w:rPr>
          <w:sz w:val="24"/>
          <w:szCs w:val="24"/>
        </w:rPr>
        <w:t>папиллит</w:t>
      </w:r>
      <w:proofErr w:type="spellEnd"/>
      <w:r w:rsidRPr="008D49D8">
        <w:rPr>
          <w:sz w:val="24"/>
          <w:szCs w:val="24"/>
        </w:rPr>
        <w:t>. Поскольку в ранних стадиях заболевания тубер</w:t>
      </w:r>
      <w:r w:rsidRPr="008D49D8">
        <w:rPr>
          <w:sz w:val="24"/>
          <w:szCs w:val="24"/>
        </w:rPr>
        <w:softHyphen/>
        <w:t>кулезные узелки не видны, диагностика может быть осуществлена только при распространении инфекции на другие участки глаза.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rPr>
          <w:b/>
        </w:rPr>
        <w:t xml:space="preserve">Задний </w:t>
      </w:r>
      <w:proofErr w:type="spellStart"/>
      <w:r w:rsidRPr="008D49D8">
        <w:rPr>
          <w:b/>
        </w:rPr>
        <w:t>увеит</w:t>
      </w:r>
      <w:proofErr w:type="spellEnd"/>
      <w:r w:rsidRPr="008D49D8">
        <w:rPr>
          <w:b/>
          <w:i/>
        </w:rPr>
        <w:t xml:space="preserve"> </w:t>
      </w:r>
      <w:r w:rsidRPr="008D49D8">
        <w:rPr>
          <w:i/>
        </w:rPr>
        <w:t>(</w:t>
      </w:r>
      <w:proofErr w:type="spellStart"/>
      <w:r w:rsidRPr="008D49D8">
        <w:rPr>
          <w:i/>
        </w:rPr>
        <w:t>х</w:t>
      </w:r>
      <w:r w:rsidRPr="008D49D8">
        <w:t>ориоидит</w:t>
      </w:r>
      <w:proofErr w:type="spellEnd"/>
      <w:r w:rsidRPr="008D49D8">
        <w:t xml:space="preserve">, </w:t>
      </w:r>
      <w:proofErr w:type="spellStart"/>
      <w:r w:rsidRPr="008D49D8">
        <w:t>хориоретинит</w:t>
      </w:r>
      <w:proofErr w:type="spellEnd"/>
      <w:r w:rsidRPr="008D49D8">
        <w:t xml:space="preserve">, ретинит, </w:t>
      </w:r>
      <w:proofErr w:type="spellStart"/>
      <w:r w:rsidRPr="008D49D8">
        <w:t>ретиноваскулит</w:t>
      </w:r>
      <w:proofErr w:type="spellEnd"/>
      <w:r w:rsidRPr="008D49D8">
        <w:t xml:space="preserve">, </w:t>
      </w:r>
      <w:proofErr w:type="spellStart"/>
      <w:r w:rsidRPr="008D49D8">
        <w:t>ретинохориоидит</w:t>
      </w:r>
      <w:proofErr w:type="spellEnd"/>
      <w:r w:rsidRPr="008D49D8">
        <w:t xml:space="preserve">, </w:t>
      </w:r>
      <w:proofErr w:type="spellStart"/>
      <w:r w:rsidRPr="008D49D8">
        <w:t>эндофтальмит</w:t>
      </w:r>
      <w:proofErr w:type="spellEnd"/>
      <w:r w:rsidRPr="008D49D8">
        <w:t xml:space="preserve">). При туберкулезе </w:t>
      </w:r>
      <w:proofErr w:type="spellStart"/>
      <w:r w:rsidRPr="008D49D8">
        <w:t>хориоидеи</w:t>
      </w:r>
      <w:proofErr w:type="spellEnd"/>
      <w:r w:rsidRPr="008D49D8">
        <w:t xml:space="preserve"> видны туберкулезные узелки в виде единичных или множественных серо-белых пятен со стушеванными краями под отечной сетчаткой. Сосуды, проходя по их поверхности, </w:t>
      </w:r>
      <w:proofErr w:type="spellStart"/>
      <w:r w:rsidRPr="008D49D8">
        <w:t>проминируют</w:t>
      </w:r>
      <w:proofErr w:type="spellEnd"/>
      <w:r w:rsidRPr="008D49D8">
        <w:t xml:space="preserve">. Узелки варьируют от точечных до 0,5–2 мм в диаметре. Иногда мелкие фокусы сливаются, формируя большие образования. Поражение может захватывать любую часть </w:t>
      </w:r>
      <w:proofErr w:type="spellStart"/>
      <w:r w:rsidRPr="008D49D8">
        <w:t>хориоидеи</w:t>
      </w:r>
      <w:proofErr w:type="spellEnd"/>
      <w:r w:rsidRPr="008D49D8">
        <w:t xml:space="preserve">, при распространении инфекционного процесса на сетчатку формируется </w:t>
      </w:r>
      <w:proofErr w:type="spellStart"/>
      <w:r w:rsidRPr="008D49D8">
        <w:t>хориоретинит</w:t>
      </w:r>
      <w:proofErr w:type="spellEnd"/>
      <w:r w:rsidRPr="008D49D8">
        <w:t xml:space="preserve">. Наиболее типично наличие узелков в </w:t>
      </w:r>
      <w:proofErr w:type="spellStart"/>
      <w:r w:rsidRPr="008D49D8">
        <w:t>перипапиллярной</w:t>
      </w:r>
      <w:proofErr w:type="spellEnd"/>
      <w:r w:rsidRPr="008D49D8">
        <w:t xml:space="preserve"> области. При успешном лечении зона </w:t>
      </w:r>
      <w:proofErr w:type="spellStart"/>
      <w:r w:rsidRPr="008D49D8">
        <w:t>перифокального</w:t>
      </w:r>
      <w:proofErr w:type="spellEnd"/>
      <w:r w:rsidRPr="008D49D8">
        <w:t xml:space="preserve"> отека уменьшается, края узелков становятся чет</w:t>
      </w:r>
      <w:r w:rsidRPr="008D49D8">
        <w:softHyphen/>
        <w:t>кими, принимают желтый оттенок, на них скапливается пигмент. Известны случаи тубер</w:t>
      </w:r>
      <w:r w:rsidRPr="008D49D8">
        <w:softHyphen/>
        <w:t xml:space="preserve">кулеза </w:t>
      </w:r>
      <w:proofErr w:type="spellStart"/>
      <w:r w:rsidRPr="008D49D8">
        <w:t>хориоидеи</w:t>
      </w:r>
      <w:proofErr w:type="spellEnd"/>
      <w:r w:rsidRPr="008D49D8">
        <w:t xml:space="preserve"> с поражением сетчатки и развитием </w:t>
      </w:r>
      <w:proofErr w:type="spellStart"/>
      <w:r w:rsidRPr="008D49D8">
        <w:t>панофтальмита</w:t>
      </w:r>
      <w:proofErr w:type="spellEnd"/>
      <w:r w:rsidRPr="008D49D8">
        <w:t xml:space="preserve">. В таких случаях в тканях были </w:t>
      </w:r>
      <w:r w:rsidRPr="008D49D8">
        <w:lastRenderedPageBreak/>
        <w:t xml:space="preserve">обнаружены микобактерии туберкулеза. При заднем туберкулезном </w:t>
      </w:r>
      <w:proofErr w:type="spellStart"/>
      <w:r w:rsidRPr="008D49D8">
        <w:t>увеите</w:t>
      </w:r>
      <w:proofErr w:type="spellEnd"/>
      <w:r w:rsidRPr="008D49D8">
        <w:t xml:space="preserve"> возможно появление больших </w:t>
      </w:r>
      <w:proofErr w:type="spellStart"/>
      <w:r w:rsidRPr="008D49D8">
        <w:t>солитарных</w:t>
      </w:r>
      <w:proofErr w:type="spellEnd"/>
      <w:r w:rsidRPr="008D49D8">
        <w:t xml:space="preserve"> туберкулов </w:t>
      </w:r>
      <w:proofErr w:type="spellStart"/>
      <w:r w:rsidRPr="008D49D8">
        <w:t>хориоидеи</w:t>
      </w:r>
      <w:proofErr w:type="spellEnd"/>
      <w:r w:rsidRPr="008D49D8">
        <w:t xml:space="preserve">, которые встречаются довольно редко. </w:t>
      </w:r>
      <w:proofErr w:type="spellStart"/>
      <w:r w:rsidRPr="008D49D8">
        <w:t>Солитарный</w:t>
      </w:r>
      <w:proofErr w:type="spellEnd"/>
      <w:r w:rsidRPr="008D49D8">
        <w:t xml:space="preserve"> туберкул может локализоваться в различных отделах глазного дна, иногда в </w:t>
      </w:r>
      <w:proofErr w:type="spellStart"/>
      <w:r w:rsidRPr="008D49D8">
        <w:t>макулярной</w:t>
      </w:r>
      <w:proofErr w:type="spellEnd"/>
      <w:r w:rsidRPr="008D49D8">
        <w:t xml:space="preserve"> области или около диска зрительного нерва, но чаще – на крайней периферии. В начальной фазе развития он виден как очаг серовато-белого цвета со стушеванными границами. Затем туберкул постепенно растет и принимает вид </w:t>
      </w:r>
      <w:proofErr w:type="spellStart"/>
      <w:r w:rsidRPr="008D49D8">
        <w:t>проминирующей</w:t>
      </w:r>
      <w:proofErr w:type="spellEnd"/>
      <w:r w:rsidRPr="008D49D8">
        <w:t xml:space="preserve"> опухоли белого или желтого цвета. Туберкул </w:t>
      </w:r>
      <w:proofErr w:type="spellStart"/>
      <w:r w:rsidRPr="008D49D8">
        <w:t>хориоидеи</w:t>
      </w:r>
      <w:proofErr w:type="spellEnd"/>
      <w:r w:rsidRPr="008D49D8">
        <w:t xml:space="preserve"> иногда похож на </w:t>
      </w:r>
      <w:proofErr w:type="spellStart"/>
      <w:r w:rsidRPr="008D49D8">
        <w:t>меланобластому</w:t>
      </w:r>
      <w:proofErr w:type="spellEnd"/>
      <w:r w:rsidRPr="008D49D8">
        <w:t xml:space="preserve">. Однако, круглая форма этой белой, как бы пористой массы, указывает на воспалительное происхождение. На поверхности туберкула могут быть небольшие геморрагии, сетчатка натягивается, образуя складки, что приводит к ее отслойке. Прогрессирование медленное, сопровождается воспалительными изменениями стекловидного тела и слабо выраженным хроническим передним </w:t>
      </w:r>
      <w:proofErr w:type="spellStart"/>
      <w:r w:rsidRPr="008D49D8">
        <w:t>увеитом</w:t>
      </w:r>
      <w:proofErr w:type="spellEnd"/>
      <w:r w:rsidRPr="008D49D8">
        <w:t xml:space="preserve"> с небольшим количеством роговичных преципитатов. Гранулема может прогрессировать в течение нескольких месяцев, а затем подвергаться обратному развитию, образуя белый хориоретинальный рубец, окруженный зоной пигмента; при рецидивах по краям рубца появляются свежие узелки.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t xml:space="preserve">При диссеминированном туберкулезном </w:t>
      </w:r>
      <w:proofErr w:type="spellStart"/>
      <w:r w:rsidRPr="008D49D8">
        <w:t>хориоидите</w:t>
      </w:r>
      <w:proofErr w:type="spellEnd"/>
      <w:r w:rsidRPr="008D49D8">
        <w:t xml:space="preserve"> в </w:t>
      </w:r>
      <w:proofErr w:type="spellStart"/>
      <w:r w:rsidRPr="008D49D8">
        <w:t>хориоидее</w:t>
      </w:r>
      <w:proofErr w:type="spellEnd"/>
      <w:r w:rsidRPr="008D49D8">
        <w:t xml:space="preserve"> определяются множественные серо-желтые круглые фокусы, сетчатка над ними </w:t>
      </w:r>
      <w:proofErr w:type="spellStart"/>
      <w:r w:rsidRPr="008D49D8">
        <w:t>некротизируется</w:t>
      </w:r>
      <w:proofErr w:type="spellEnd"/>
      <w:r w:rsidRPr="008D49D8">
        <w:t xml:space="preserve">. Заболевание часто ассоциируется с </w:t>
      </w:r>
      <w:proofErr w:type="spellStart"/>
      <w:r w:rsidRPr="008D49D8">
        <w:t>витреальными</w:t>
      </w:r>
      <w:proofErr w:type="spellEnd"/>
      <w:r w:rsidRPr="008D49D8">
        <w:t xml:space="preserve"> помутнениями и воспалительной реакцией цилиарного тела. При разрешении процесса на глазном дне остаются атрофические пигментные участки. Такое поражение обычно встречается во втором и третьем десятилетии жизни, редко позже. Как правило, в процесс вовлекаются оба глаза. Если диссеминированный </w:t>
      </w:r>
      <w:proofErr w:type="spellStart"/>
      <w:r w:rsidRPr="008D49D8">
        <w:t>хориоидит</w:t>
      </w:r>
      <w:proofErr w:type="spellEnd"/>
      <w:r w:rsidRPr="008D49D8">
        <w:t xml:space="preserve"> начинается в юности, то может протекать относительно стационарно при достижении среднего возраста (иногда позднее), происхо</w:t>
      </w:r>
      <w:r w:rsidRPr="008D49D8">
        <w:softHyphen/>
        <w:t>дит внезапная активизация, с появлением свежих очаговых измене</w:t>
      </w:r>
      <w:r w:rsidRPr="008D49D8">
        <w:softHyphen/>
        <w:t>ний, что свидетельствует о снижении общей резистентности организма.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t xml:space="preserve">Аллергический туберкулезный </w:t>
      </w:r>
      <w:proofErr w:type="spellStart"/>
      <w:r w:rsidRPr="008D49D8">
        <w:t>увеит</w:t>
      </w:r>
      <w:proofErr w:type="spellEnd"/>
      <w:r w:rsidRPr="008D49D8">
        <w:t xml:space="preserve"> может поражать не только передние, но и задние отделы </w:t>
      </w:r>
      <w:proofErr w:type="spellStart"/>
      <w:r w:rsidRPr="008D49D8">
        <w:t>увеального</w:t>
      </w:r>
      <w:proofErr w:type="spellEnd"/>
      <w:r w:rsidRPr="008D49D8">
        <w:t xml:space="preserve"> тракта. В этом случае в </w:t>
      </w:r>
      <w:proofErr w:type="spellStart"/>
      <w:r w:rsidRPr="008D49D8">
        <w:t>хориоидее</w:t>
      </w:r>
      <w:proofErr w:type="spellEnd"/>
      <w:r w:rsidRPr="008D49D8">
        <w:t xml:space="preserve"> выявляются экссудативные фокусы, чаще одиночные, возникают преимущественно на периферии, их величина до 1 </w:t>
      </w:r>
      <w:r w:rsidRPr="008D49D8">
        <w:rPr>
          <w:lang w:val="en-US"/>
        </w:rPr>
        <w:t>PD</w:t>
      </w:r>
      <w:r w:rsidRPr="008D49D8">
        <w:t xml:space="preserve">, в некоторых случаях больше. В начале заболевания помутнения стекловидного тела незначительны, затем становятся интенсивнее и плотнее. Появление роговичных преципитатов и задних </w:t>
      </w:r>
      <w:proofErr w:type="spellStart"/>
      <w:r w:rsidRPr="008D49D8">
        <w:t>синехий</w:t>
      </w:r>
      <w:proofErr w:type="spellEnd"/>
      <w:r w:rsidRPr="008D49D8">
        <w:t xml:space="preserve"> указывает на вовлечение в процесс переднего сегмента </w:t>
      </w:r>
      <w:proofErr w:type="spellStart"/>
      <w:r w:rsidRPr="008D49D8">
        <w:t>увеального</w:t>
      </w:r>
      <w:proofErr w:type="spellEnd"/>
      <w:r w:rsidRPr="008D49D8">
        <w:t xml:space="preserve"> тракта. После стихания воспаления остаются атрофические и пигментированные хориоретинальные очаги. При рецидивах заболевания возникают активные фокусы по краю зарубцевавшегося первичного очага или вблизи него.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lastRenderedPageBreak/>
        <w:t xml:space="preserve">Туберкулезный ретинит развивается при эндогенной диссеминации из </w:t>
      </w:r>
      <w:proofErr w:type="spellStart"/>
      <w:r w:rsidRPr="008D49D8">
        <w:t>внеглазного</w:t>
      </w:r>
      <w:proofErr w:type="spellEnd"/>
      <w:r w:rsidRPr="008D49D8">
        <w:t xml:space="preserve"> очага. Воспалительные изменения формируются в сосудистых сплетениях сетчатки и могут иметь две формы развития. При первой форме образуются небольшие </w:t>
      </w:r>
      <w:proofErr w:type="spellStart"/>
      <w:r w:rsidRPr="008D49D8">
        <w:t>ретинальные</w:t>
      </w:r>
      <w:proofErr w:type="spellEnd"/>
      <w:r w:rsidRPr="008D49D8">
        <w:t xml:space="preserve"> туберкулы, которые в дальнейшем подвергаются обратному развитию. При второй форме отмечается прогрессирование заболевания с образованием обширных серовато-белых фокусов и распространением процесса на </w:t>
      </w:r>
      <w:proofErr w:type="spellStart"/>
      <w:r w:rsidRPr="008D49D8">
        <w:t>хориоидею</w:t>
      </w:r>
      <w:proofErr w:type="spellEnd"/>
      <w:r w:rsidRPr="008D49D8">
        <w:t xml:space="preserve"> (</w:t>
      </w:r>
      <w:proofErr w:type="spellStart"/>
      <w:r w:rsidRPr="008D49D8">
        <w:t>ретинохориоидит</w:t>
      </w:r>
      <w:proofErr w:type="spellEnd"/>
      <w:r w:rsidRPr="008D49D8">
        <w:t xml:space="preserve">). В этом случае нередко отмечаются тяжелые изменения стекловидного тела, вплоть до </w:t>
      </w:r>
      <w:proofErr w:type="spellStart"/>
      <w:r w:rsidRPr="008D49D8">
        <w:t>эндофтальмита</w:t>
      </w:r>
      <w:proofErr w:type="spellEnd"/>
      <w:r w:rsidRPr="008D49D8">
        <w:t xml:space="preserve">. </w:t>
      </w:r>
      <w:proofErr w:type="spellStart"/>
      <w:r w:rsidRPr="008D49D8">
        <w:t>Перифлебит</w:t>
      </w:r>
      <w:proofErr w:type="spellEnd"/>
      <w:r w:rsidRPr="008D49D8">
        <w:t xml:space="preserve"> сетчатки может быть проявлением туберкулезной инфекции, которая нередко приводит к развитию тромбоза центральной вены сетчатки. Следует отметить, что воспалительные изменения </w:t>
      </w:r>
      <w:proofErr w:type="spellStart"/>
      <w:r w:rsidRPr="008D49D8">
        <w:t>ретинальных</w:t>
      </w:r>
      <w:proofErr w:type="spellEnd"/>
      <w:r w:rsidRPr="008D49D8">
        <w:t xml:space="preserve"> сосудов могут быть следствием гиперчувствительности к туберкулину. 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t xml:space="preserve">Юкстапапиллярный </w:t>
      </w:r>
      <w:proofErr w:type="spellStart"/>
      <w:r w:rsidRPr="008D49D8">
        <w:t>хориоретинит</w:t>
      </w:r>
      <w:proofErr w:type="spellEnd"/>
      <w:r w:rsidRPr="008D49D8">
        <w:t xml:space="preserve"> </w:t>
      </w:r>
      <w:proofErr w:type="spellStart"/>
      <w:r w:rsidRPr="008D49D8">
        <w:t>Иенсена</w:t>
      </w:r>
      <w:proofErr w:type="spellEnd"/>
      <w:r w:rsidRPr="008D49D8">
        <w:t xml:space="preserve"> развивается, когда туберкулезная гранулема в сосудистой оболочке располагается вблизи зрительного нерва. Клиническая картина характеризуется </w:t>
      </w:r>
      <w:proofErr w:type="spellStart"/>
      <w:r w:rsidRPr="008D49D8">
        <w:t>перифокальным</w:t>
      </w:r>
      <w:proofErr w:type="spellEnd"/>
      <w:r w:rsidRPr="008D49D8">
        <w:t xml:space="preserve"> отеком сетчатки, прикрывающим гранулему и распространяющимся на зрительный нерв. Заболевание сопровождается появлением секторальной скотомы, соответствующей поражению сетчатки и зрительного нерва. Вовлечение зрительного нерва может сопровождать </w:t>
      </w:r>
      <w:proofErr w:type="spellStart"/>
      <w:r w:rsidRPr="008D49D8">
        <w:t>увеит</w:t>
      </w:r>
      <w:proofErr w:type="spellEnd"/>
      <w:r w:rsidRPr="008D49D8">
        <w:t xml:space="preserve"> или туберкулезный менингит, либо являться следствием его прямой инфильтрации.</w:t>
      </w:r>
    </w:p>
    <w:p w:rsidR="00AF4139" w:rsidRPr="008D49D8" w:rsidRDefault="00AF4139" w:rsidP="00AF4139">
      <w:pPr>
        <w:ind w:firstLine="709"/>
        <w:jc w:val="both"/>
        <w:divId w:val="1219056190"/>
      </w:pPr>
      <w:proofErr w:type="spellStart"/>
      <w:r w:rsidRPr="008D49D8">
        <w:rPr>
          <w:b/>
        </w:rPr>
        <w:t>Генерализованный</w:t>
      </w:r>
      <w:proofErr w:type="spellEnd"/>
      <w:r w:rsidRPr="008D49D8">
        <w:rPr>
          <w:b/>
        </w:rPr>
        <w:t xml:space="preserve"> </w:t>
      </w:r>
      <w:proofErr w:type="spellStart"/>
      <w:r w:rsidRPr="008D49D8">
        <w:rPr>
          <w:b/>
        </w:rPr>
        <w:t>увеит</w:t>
      </w:r>
      <w:proofErr w:type="spellEnd"/>
      <w:r w:rsidRPr="008D49D8">
        <w:rPr>
          <w:b/>
        </w:rPr>
        <w:t>.</w:t>
      </w:r>
      <w:r w:rsidRPr="008D49D8">
        <w:t xml:space="preserve"> При хроническом туберкулезном </w:t>
      </w:r>
      <w:proofErr w:type="spellStart"/>
      <w:r w:rsidRPr="008D49D8">
        <w:t>увеите</w:t>
      </w:r>
      <w:proofErr w:type="spellEnd"/>
      <w:r w:rsidRPr="008D49D8">
        <w:t xml:space="preserve"> в воспалительный процесс вовлекается весь </w:t>
      </w:r>
      <w:proofErr w:type="spellStart"/>
      <w:r w:rsidRPr="008D49D8">
        <w:t>увеальный</w:t>
      </w:r>
      <w:proofErr w:type="spellEnd"/>
      <w:r w:rsidRPr="008D49D8">
        <w:t xml:space="preserve"> тракт. Заболевание протекает с систематическими обострениями и ремиссиями в течение ряда лет, пока</w:t>
      </w:r>
      <w:r w:rsidRPr="008D49D8">
        <w:rPr>
          <w:smallCaps/>
        </w:rPr>
        <w:t xml:space="preserve"> </w:t>
      </w:r>
      <w:r w:rsidRPr="008D49D8">
        <w:t xml:space="preserve">зрение не начинает серьезно страдать из-за экссудации в область зрачка, медленного развития </w:t>
      </w:r>
      <w:proofErr w:type="spellStart"/>
      <w:r w:rsidRPr="008D49D8">
        <w:t>компликатной</w:t>
      </w:r>
      <w:proofErr w:type="spellEnd"/>
      <w:r w:rsidRPr="008D49D8">
        <w:t xml:space="preserve"> ка</w:t>
      </w:r>
      <w:r w:rsidRPr="008D49D8">
        <w:softHyphen/>
        <w:t xml:space="preserve">таракты или поражения </w:t>
      </w:r>
      <w:proofErr w:type="spellStart"/>
      <w:r w:rsidRPr="008D49D8">
        <w:t>макулярной</w:t>
      </w:r>
      <w:proofErr w:type="spellEnd"/>
      <w:r w:rsidRPr="008D49D8">
        <w:t xml:space="preserve"> зоны. В ряде та</w:t>
      </w:r>
      <w:r w:rsidRPr="008D49D8">
        <w:softHyphen/>
        <w:t>ких случаев отмечается депигментация радужной обо</w:t>
      </w:r>
      <w:r w:rsidRPr="008D49D8">
        <w:softHyphen/>
        <w:t>лочки, напоминающая гетерохромный циклит. В клинической картине фигурируют узелки по краю зрачка, точечные роговичные преципитаты и негрубые помутне</w:t>
      </w:r>
      <w:r w:rsidRPr="008D49D8">
        <w:softHyphen/>
        <w:t xml:space="preserve">ния стекловидного тела. </w:t>
      </w:r>
    </w:p>
    <w:p w:rsidR="00AF4139" w:rsidRPr="008D49D8" w:rsidRDefault="00AF4139" w:rsidP="00AF4139">
      <w:pPr>
        <w:ind w:firstLine="709"/>
        <w:jc w:val="both"/>
        <w:divId w:val="1219056190"/>
      </w:pPr>
      <w:r w:rsidRPr="008D49D8">
        <w:t xml:space="preserve">При диффузном </w:t>
      </w:r>
      <w:proofErr w:type="spellStart"/>
      <w:r w:rsidRPr="008D49D8">
        <w:t>генерализованном</w:t>
      </w:r>
      <w:proofErr w:type="spellEnd"/>
      <w:r w:rsidRPr="008D49D8">
        <w:t xml:space="preserve"> </w:t>
      </w:r>
      <w:proofErr w:type="spellStart"/>
      <w:r w:rsidRPr="008D49D8">
        <w:t>увеите</w:t>
      </w:r>
      <w:proofErr w:type="spellEnd"/>
      <w:r w:rsidRPr="008D49D8">
        <w:t xml:space="preserve"> в радужной оболочке появляется тотальная инфильтрация со значительным утолщением ее ткани, образованием на дне передней камеры глаза экссуда</w:t>
      </w:r>
      <w:r w:rsidRPr="008D49D8">
        <w:softHyphen/>
        <w:t>та, напоминающего гной. Обнаружение узел</w:t>
      </w:r>
      <w:r w:rsidRPr="008D49D8">
        <w:softHyphen/>
        <w:t xml:space="preserve">ков в радужной оболочке облегчает диагностику. В </w:t>
      </w:r>
      <w:proofErr w:type="spellStart"/>
      <w:r w:rsidRPr="008D49D8">
        <w:t>хориоидее</w:t>
      </w:r>
      <w:proofErr w:type="spellEnd"/>
      <w:r w:rsidRPr="008D49D8">
        <w:t xml:space="preserve"> также протекает диф</w:t>
      </w:r>
      <w:r w:rsidRPr="008D49D8">
        <w:softHyphen/>
        <w:t>фузный воспалительный процесс, обычно поражающий обширную зону заднего полюса глазного дна. При небла</w:t>
      </w:r>
      <w:r w:rsidRPr="008D49D8">
        <w:softHyphen/>
        <w:t xml:space="preserve">гоприятном течении может развиться подострый </w:t>
      </w:r>
      <w:proofErr w:type="spellStart"/>
      <w:r w:rsidRPr="008D49D8">
        <w:t>панофтальмит</w:t>
      </w:r>
      <w:proofErr w:type="spellEnd"/>
      <w:r w:rsidRPr="008D49D8">
        <w:t>.</w:t>
      </w:r>
    </w:p>
    <w:p w:rsidR="00AF4139" w:rsidRDefault="00AF4139" w:rsidP="00AF4139">
      <w:pPr>
        <w:ind w:firstLine="709"/>
        <w:divId w:val="1219056190"/>
        <w:rPr>
          <w:rFonts w:eastAsia="Times New Roman"/>
          <w:b/>
          <w:u w:val="single"/>
        </w:rPr>
      </w:pPr>
    </w:p>
    <w:p w:rsidR="008E3BA4" w:rsidRDefault="008E3BA4" w:rsidP="00AF4139">
      <w:pPr>
        <w:ind w:firstLine="709"/>
        <w:divId w:val="1219056190"/>
        <w:rPr>
          <w:rFonts w:eastAsia="Times New Roman"/>
          <w:b/>
          <w:u w:val="single"/>
        </w:rPr>
      </w:pPr>
    </w:p>
    <w:p w:rsidR="008E3BA4" w:rsidRDefault="008E3BA4" w:rsidP="00AF4139">
      <w:pPr>
        <w:ind w:firstLine="709"/>
        <w:divId w:val="1219056190"/>
        <w:rPr>
          <w:rFonts w:eastAsia="Times New Roman"/>
          <w:b/>
          <w:u w:val="single"/>
        </w:rPr>
      </w:pPr>
    </w:p>
    <w:p w:rsidR="00AF4139" w:rsidRDefault="00AF4139" w:rsidP="00AF4139">
      <w:pPr>
        <w:ind w:firstLine="709"/>
        <w:divId w:val="1219056190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lastRenderedPageBreak/>
        <w:t>1.7. Организация оказания медицинской помощи</w:t>
      </w:r>
    </w:p>
    <w:p w:rsidR="00FD425E" w:rsidRDefault="00FD425E" w:rsidP="008E3BA4">
      <w:pPr>
        <w:pStyle w:val="afa"/>
        <w:spacing w:before="100" w:after="100" w:line="360" w:lineRule="auto"/>
        <w:ind w:firstLine="709"/>
        <w:divId w:val="1219056190"/>
      </w:pPr>
      <w:r>
        <w:t xml:space="preserve">Организация оказания медицинской помощи больным с </w:t>
      </w:r>
      <w:r w:rsidR="00BD0E69">
        <w:t>туберкулезны</w:t>
      </w:r>
      <w:r w:rsidR="009B6E74">
        <w:t xml:space="preserve">ми </w:t>
      </w:r>
      <w:proofErr w:type="spellStart"/>
      <w:proofErr w:type="gramStart"/>
      <w:r w:rsidR="009B6E74">
        <w:t>увеитами</w:t>
      </w:r>
      <w:proofErr w:type="spellEnd"/>
      <w:proofErr w:type="gramEnd"/>
      <w:r>
        <w:t xml:space="preserve"> как и с другими формами туберкулеза, регламентируется Приказом МЗ РФ № 109 от 21 марта 2003г. (ред. от 29.10.2009) «О совершенствовании противотуберкулёзных мероприятий в Российской Федерации»</w:t>
      </w:r>
      <w:r w:rsidR="008739DA" w:rsidRPr="008739DA">
        <w:t xml:space="preserve"> </w:t>
      </w:r>
      <w:r w:rsidR="008739DA">
        <w:t>[6].</w:t>
      </w:r>
    </w:p>
    <w:p w:rsidR="009F17BC" w:rsidRPr="00774A3F" w:rsidRDefault="00753BA6" w:rsidP="00774A3F">
      <w:pPr>
        <w:pStyle w:val="10"/>
        <w:jc w:val="center"/>
        <w:rPr>
          <w:u w:val="none"/>
        </w:rPr>
      </w:pPr>
      <w:bookmarkStart w:id="9" w:name="_Toc481656226"/>
      <w:r w:rsidRPr="00774A3F">
        <w:rPr>
          <w:sz w:val="28"/>
          <w:szCs w:val="28"/>
          <w:u w:val="none"/>
        </w:rPr>
        <w:t>2. Диагностика</w:t>
      </w:r>
      <w:bookmarkEnd w:id="9"/>
    </w:p>
    <w:p w:rsidR="009F17BC" w:rsidRPr="00774A3F" w:rsidRDefault="00753BA6" w:rsidP="00774A3F">
      <w:pPr>
        <w:ind w:firstLine="709"/>
        <w:divId w:val="797454052"/>
        <w:rPr>
          <w:rFonts w:eastAsia="Times New Roman"/>
          <w:b/>
          <w:u w:val="single"/>
        </w:rPr>
      </w:pPr>
      <w:r w:rsidRPr="00774A3F">
        <w:rPr>
          <w:rFonts w:eastAsia="Times New Roman"/>
          <w:b/>
          <w:u w:val="single"/>
        </w:rPr>
        <w:t>2.1 Жалобы и анамнез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t xml:space="preserve">• Жалобы необходимо разделить на 2 группы. К первой группе относятся жалобы, связанные непосредственно с </w:t>
      </w:r>
      <w:proofErr w:type="spellStart"/>
      <w:r>
        <w:t>увеитом</w:t>
      </w:r>
      <w:proofErr w:type="spellEnd"/>
      <w:r>
        <w:t>. Ко второй группе относятся жалобы, обусловленные осложнениями восп</w:t>
      </w:r>
      <w:r w:rsidR="00AA5661">
        <w:t>алительного процесса [1,2,3,4].</w:t>
      </w:r>
    </w:p>
    <w:p w:rsidR="009F17BC" w:rsidRDefault="00753BA6">
      <w:pPr>
        <w:pStyle w:val="afa"/>
        <w:divId w:val="797454052"/>
      </w:pPr>
      <w:r>
        <w:rPr>
          <w:rStyle w:val="aff8"/>
        </w:rPr>
        <w:t>Уровень убедительности рекомендаций</w:t>
      </w:r>
      <w:r w:rsidR="00AA5661">
        <w:rPr>
          <w:rStyle w:val="aff8"/>
        </w:rPr>
        <w:t xml:space="preserve"> С</w:t>
      </w:r>
      <w:r w:rsidR="00762EA9">
        <w:rPr>
          <w:rStyle w:val="aff8"/>
        </w:rPr>
        <w:t xml:space="preserve"> </w:t>
      </w:r>
      <w:r>
        <w:t xml:space="preserve">(уровень </w:t>
      </w:r>
      <w:r w:rsidR="00AA5661">
        <w:t>достоверности доказательств – 4</w:t>
      </w:r>
      <w:r>
        <w:t>)</w:t>
      </w:r>
    </w:p>
    <w:p w:rsidR="009F17BC" w:rsidRDefault="00753BA6">
      <w:pPr>
        <w:pStyle w:val="afa"/>
        <w:divId w:val="797454052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При остром переднем </w:t>
      </w:r>
      <w:proofErr w:type="spellStart"/>
      <w:r>
        <w:rPr>
          <w:rStyle w:val="aff9"/>
        </w:rPr>
        <w:t>увеите</w:t>
      </w:r>
      <w:proofErr w:type="spellEnd"/>
      <w:r>
        <w:rPr>
          <w:rStyle w:val="aff9"/>
        </w:rPr>
        <w:t xml:space="preserve"> жалобы на покраснение глаза, затуманивание, боли в области цилиарного тела, снижение остроты зрения. 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При заднем </w:t>
      </w:r>
      <w:proofErr w:type="spellStart"/>
      <w:r>
        <w:rPr>
          <w:rStyle w:val="aff9"/>
        </w:rPr>
        <w:t>увеите</w:t>
      </w:r>
      <w:proofErr w:type="spellEnd"/>
      <w:r>
        <w:rPr>
          <w:rStyle w:val="aff9"/>
        </w:rPr>
        <w:t xml:space="preserve"> с локализацией воспалительных фокусов в заднем полюсе жалобы на появление тумана и быстрое снижение зрения. 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При развитии окклюзией </w:t>
      </w:r>
      <w:proofErr w:type="spellStart"/>
      <w:r>
        <w:rPr>
          <w:rStyle w:val="aff9"/>
        </w:rPr>
        <w:t>ретинальных</w:t>
      </w:r>
      <w:proofErr w:type="spellEnd"/>
      <w:r>
        <w:rPr>
          <w:rStyle w:val="aff9"/>
        </w:rPr>
        <w:t xml:space="preserve"> вен и неврита зрительного нерва жалобы на резкое снижение зрения. </w:t>
      </w:r>
    </w:p>
    <w:p w:rsidR="009F17BC" w:rsidRDefault="00753BA6">
      <w:pPr>
        <w:pStyle w:val="afa"/>
        <w:divId w:val="797454052"/>
      </w:pPr>
      <w:r>
        <w:t>• Анамнез заключается в выявлении факторов риска [2,4].</w:t>
      </w:r>
    </w:p>
    <w:p w:rsidR="009F17BC" w:rsidRDefault="00753BA6">
      <w:pPr>
        <w:pStyle w:val="afa"/>
        <w:divId w:val="797454052"/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>
      <w:pPr>
        <w:pStyle w:val="afa"/>
        <w:divId w:val="797454052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Необходимо обращать внимание на наличие у пациента туберкулеза в прошлом, длительный контакт с больными туберкулезом, особенно с открытой формой, имеющиеся сопутствующие заболевания (ВИЧ, сахарный диабет, язвенная болезнь желудка и 12-ти перстной кишки, воспалительные поражения печени и почек, а также неблагоприятные социально-экономические факторы, курение, наркомания, алкоголизм). Необходимо уточнить, получал ли ранее больной длительную кортикостероидную или иную </w:t>
      </w:r>
      <w:proofErr w:type="spellStart"/>
      <w:r>
        <w:rPr>
          <w:rStyle w:val="aff9"/>
        </w:rPr>
        <w:t>иммуносупрессивную</w:t>
      </w:r>
      <w:proofErr w:type="spellEnd"/>
      <w:r>
        <w:rPr>
          <w:rStyle w:val="aff9"/>
        </w:rPr>
        <w:t xml:space="preserve"> терапию. Также следует отметить не входит ли пациент в группу риска заболевания туберкулезом (бывший заключенный, шахтер, медицинский работник и другие), не находился ли в регионах эндемичных по туберкулезу.</w:t>
      </w:r>
    </w:p>
    <w:p w:rsidR="009F17BC" w:rsidRPr="008E3BA4" w:rsidRDefault="00753BA6" w:rsidP="00774A3F">
      <w:pPr>
        <w:ind w:firstLine="709"/>
        <w:divId w:val="797454052"/>
        <w:rPr>
          <w:rFonts w:eastAsia="Times New Roman"/>
          <w:b/>
          <w:u w:val="single"/>
        </w:rPr>
      </w:pPr>
      <w:bookmarkStart w:id="10" w:name="_Toc469476249"/>
      <w:bookmarkEnd w:id="10"/>
      <w:r w:rsidRPr="008E3BA4">
        <w:rPr>
          <w:rFonts w:eastAsia="Times New Roman"/>
          <w:b/>
          <w:u w:val="single"/>
        </w:rPr>
        <w:t xml:space="preserve">2.2 </w:t>
      </w:r>
      <w:proofErr w:type="spellStart"/>
      <w:r w:rsidRPr="008E3BA4">
        <w:rPr>
          <w:rFonts w:eastAsia="Times New Roman"/>
          <w:b/>
          <w:u w:val="single"/>
        </w:rPr>
        <w:t>Физикальное</w:t>
      </w:r>
      <w:proofErr w:type="spellEnd"/>
      <w:r w:rsidRPr="008E3BA4">
        <w:rPr>
          <w:rFonts w:eastAsia="Times New Roman"/>
          <w:b/>
          <w:u w:val="single"/>
        </w:rPr>
        <w:t xml:space="preserve"> обследование</w:t>
      </w:r>
    </w:p>
    <w:p w:rsidR="009F17BC" w:rsidRDefault="00753BA6" w:rsidP="00753BA6">
      <w:pPr>
        <w:numPr>
          <w:ilvl w:val="0"/>
          <w:numId w:val="4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Консультация фтизиатра для исключения других внелегочных форм туберкулеза рекомендуется всем пациентам [3,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lastRenderedPageBreak/>
        <w:t>Урове</w:t>
      </w:r>
      <w:r w:rsidR="00AA5661">
        <w:rPr>
          <w:rStyle w:val="aff8"/>
        </w:rPr>
        <w:t>нь убедительности рекомендаций С</w:t>
      </w:r>
      <w:r>
        <w:rPr>
          <w:rStyle w:val="aff8"/>
        </w:rPr>
        <w:t xml:space="preserve"> </w:t>
      </w:r>
      <w:r>
        <w:t xml:space="preserve">(уровень </w:t>
      </w:r>
      <w:r w:rsidR="00AA5661">
        <w:t>достоверности доказательств – 4</w:t>
      </w:r>
      <w:r>
        <w:t>)</w:t>
      </w:r>
    </w:p>
    <w:p w:rsidR="009F17BC" w:rsidRPr="00774A3F" w:rsidRDefault="00753BA6" w:rsidP="00774A3F">
      <w:pPr>
        <w:ind w:firstLine="709"/>
        <w:divId w:val="797454052"/>
        <w:rPr>
          <w:rFonts w:eastAsia="Times New Roman"/>
          <w:b/>
          <w:u w:val="single"/>
        </w:rPr>
      </w:pPr>
      <w:bookmarkStart w:id="11" w:name="_Toc469476250"/>
      <w:bookmarkEnd w:id="11"/>
      <w:r w:rsidRPr="00774A3F">
        <w:rPr>
          <w:rFonts w:eastAsia="Times New Roman"/>
          <w:b/>
          <w:u w:val="single"/>
        </w:rPr>
        <w:t>2.3 Лабораторная диагностика</w:t>
      </w:r>
    </w:p>
    <w:p w:rsidR="009F17BC" w:rsidRDefault="00753BA6" w:rsidP="00753BA6">
      <w:pPr>
        <w:numPr>
          <w:ilvl w:val="0"/>
          <w:numId w:val="5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Стандартные лабораторные гематологические и биохимические исследования рекомендуются всем пациентам [1, 3,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6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Туберкулинодиагностика</w:t>
      </w:r>
      <w:proofErr w:type="spellEnd"/>
    </w:p>
    <w:p w:rsidR="009F17BC" w:rsidRDefault="00753BA6" w:rsidP="00753BA6">
      <w:pPr>
        <w:numPr>
          <w:ilvl w:val="0"/>
          <w:numId w:val="7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 xml:space="preserve">Проба Манту или </w:t>
      </w:r>
      <w:proofErr w:type="spellStart"/>
      <w:r>
        <w:rPr>
          <w:rFonts w:eastAsia="Times New Roman"/>
        </w:rPr>
        <w:t>диаскин</w:t>
      </w:r>
      <w:proofErr w:type="spellEnd"/>
      <w:r>
        <w:rPr>
          <w:rFonts w:eastAsia="Times New Roman"/>
        </w:rPr>
        <w:t>-тест рекомендуется всем пациентам [2, 3,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8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Проба Коха рекомендуется пациентам с отрицательной пробой Манту [3,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Pr="00774A3F" w:rsidRDefault="00753BA6" w:rsidP="00774A3F">
      <w:pPr>
        <w:ind w:firstLine="709"/>
        <w:divId w:val="797454052"/>
        <w:rPr>
          <w:rFonts w:eastAsia="Times New Roman"/>
          <w:b/>
          <w:u w:val="single"/>
        </w:rPr>
      </w:pPr>
      <w:bookmarkStart w:id="12" w:name="_Toc469476251"/>
      <w:bookmarkEnd w:id="12"/>
      <w:r w:rsidRPr="00774A3F">
        <w:rPr>
          <w:rFonts w:eastAsia="Times New Roman"/>
          <w:b/>
          <w:u w:val="single"/>
        </w:rPr>
        <w:t>2.4 Инструментальная диагностика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9"/>
          <w:b/>
          <w:bCs/>
        </w:rPr>
        <w:t>Начальный этап диагностики проводится офтальмологами общей лечебной сети.</w:t>
      </w:r>
    </w:p>
    <w:p w:rsidR="009F17BC" w:rsidRDefault="00753BA6" w:rsidP="00753BA6">
      <w:pPr>
        <w:numPr>
          <w:ilvl w:val="0"/>
          <w:numId w:val="9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proofErr w:type="spellStart"/>
      <w:r>
        <w:rPr>
          <w:rFonts w:eastAsia="Times New Roman"/>
        </w:rPr>
        <w:t>Визометрия</w:t>
      </w:r>
      <w:proofErr w:type="spellEnd"/>
      <w:r>
        <w:rPr>
          <w:rFonts w:eastAsia="Times New Roman"/>
        </w:rPr>
        <w:t xml:space="preserve"> рекомендуется всем пациентам [1, 2].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>Урове</w:t>
      </w:r>
      <w:r w:rsidR="00AA5661">
        <w:rPr>
          <w:rStyle w:val="aff8"/>
        </w:rPr>
        <w:t>нь убедительности рекомендаций С</w:t>
      </w:r>
      <w:r>
        <w:rPr>
          <w:rStyle w:val="aff8"/>
        </w:rPr>
        <w:t xml:space="preserve"> </w:t>
      </w:r>
      <w:r>
        <w:t xml:space="preserve">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0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Периметрия рекомендуется всем пациентам (исключение составляют пациенты, которые из-за низкой остроты зрения не могут фиксировать светящийся объект) [1, 2, 3].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1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Тонометрия рекомендуется всем пациентам [2,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2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proofErr w:type="spellStart"/>
      <w:r>
        <w:rPr>
          <w:rFonts w:eastAsia="Times New Roman"/>
        </w:rPr>
        <w:t>Биомикроскопия</w:t>
      </w:r>
      <w:proofErr w:type="spellEnd"/>
      <w:r>
        <w:rPr>
          <w:rFonts w:eastAsia="Times New Roman"/>
        </w:rPr>
        <w:t xml:space="preserve"> переднего отдела глаза рекомендуется всем пациентам [1, 2, 3].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</w:t>
      </w:r>
      <w:r w:rsidR="00AA5661">
        <w:t xml:space="preserve"> 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3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 xml:space="preserve">Офтальмоскопия глазного дна прямая при максимальном медикаментозном </w:t>
      </w:r>
      <w:proofErr w:type="spellStart"/>
      <w:r>
        <w:rPr>
          <w:rFonts w:eastAsia="Times New Roman"/>
        </w:rPr>
        <w:t>мидриазе</w:t>
      </w:r>
      <w:proofErr w:type="spellEnd"/>
      <w:r>
        <w:rPr>
          <w:rFonts w:eastAsia="Times New Roman"/>
        </w:rPr>
        <w:t xml:space="preserve"> рекомендуется всем пациентам [1, 2].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4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 xml:space="preserve">Офтальмоскопия обратная или </w:t>
      </w:r>
      <w:proofErr w:type="spellStart"/>
      <w:r>
        <w:rPr>
          <w:rFonts w:eastAsia="Times New Roman"/>
        </w:rPr>
        <w:t>биомикроскопия</w:t>
      </w:r>
      <w:proofErr w:type="spellEnd"/>
      <w:r>
        <w:rPr>
          <w:rFonts w:eastAsia="Times New Roman"/>
        </w:rPr>
        <w:t xml:space="preserve"> глазного дна при максимальном медикаментозном </w:t>
      </w:r>
      <w:proofErr w:type="spellStart"/>
      <w:r>
        <w:rPr>
          <w:rFonts w:eastAsia="Times New Roman"/>
        </w:rPr>
        <w:t>мидриазе</w:t>
      </w:r>
      <w:proofErr w:type="spellEnd"/>
      <w:r>
        <w:rPr>
          <w:rFonts w:eastAsia="Times New Roman"/>
        </w:rPr>
        <w:t xml:space="preserve"> рекомендуется всем пациентам [1, 2].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lastRenderedPageBreak/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5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proofErr w:type="spellStart"/>
      <w:r>
        <w:rPr>
          <w:rFonts w:eastAsia="Times New Roman"/>
        </w:rPr>
        <w:t>Флюоресцентная</w:t>
      </w:r>
      <w:proofErr w:type="spellEnd"/>
      <w:r>
        <w:rPr>
          <w:rFonts w:eastAsia="Times New Roman"/>
        </w:rPr>
        <w:t xml:space="preserve"> ангиография глазного дна, рекомендуется пациентам с сосудистыми воспалительными изменениями глазного дна (исключение составляют пациенты с непрозрачными средами глаза) [1, 2].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6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 xml:space="preserve">Оптическая когерентная томография сетчатки рекомендуется пациентам с наличием </w:t>
      </w:r>
      <w:proofErr w:type="spellStart"/>
      <w:r>
        <w:rPr>
          <w:rFonts w:eastAsia="Times New Roman"/>
        </w:rPr>
        <w:t>макулярных</w:t>
      </w:r>
      <w:proofErr w:type="spellEnd"/>
      <w:r>
        <w:rPr>
          <w:rFonts w:eastAsia="Times New Roman"/>
        </w:rPr>
        <w:t xml:space="preserve"> изменений (исключение составляют пациенты с непрозрачными средами глаза) [1].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 w:rsidP="00753BA6">
      <w:pPr>
        <w:numPr>
          <w:ilvl w:val="0"/>
          <w:numId w:val="17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Ультразвуковое исследование оболочек, сред глаза и окружающих тканей рекомендуется всем пациентам [1, 3,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AA5661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18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Электрофизиологическое исследование рекомендуется пациентам с непрозрачными средами глаза или при низкой остроте зрения [1, 3,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 w:rsidP="00753BA6">
      <w:pPr>
        <w:numPr>
          <w:ilvl w:val="0"/>
          <w:numId w:val="19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proofErr w:type="spellStart"/>
      <w:r>
        <w:rPr>
          <w:rFonts w:eastAsia="Times New Roman"/>
        </w:rPr>
        <w:t>Тонография</w:t>
      </w:r>
      <w:proofErr w:type="spellEnd"/>
      <w:r>
        <w:rPr>
          <w:rFonts w:eastAsia="Times New Roman"/>
        </w:rPr>
        <w:t xml:space="preserve"> рекомендуется всем пациентам с подозрением на первичную или вторичную глаукому [1, 2].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AA5661">
        <w:rPr>
          <w:rStyle w:val="aff8"/>
        </w:rPr>
        <w:t>С</w:t>
      </w:r>
      <w:r>
        <w:t xml:space="preserve"> (уровень </w:t>
      </w:r>
      <w:r w:rsidR="00C21E3D">
        <w:t>достоверности доказательств – 4</w:t>
      </w:r>
      <w:r>
        <w:t>)</w:t>
      </w:r>
    </w:p>
    <w:p w:rsidR="009F17BC" w:rsidRDefault="00753BA6">
      <w:pPr>
        <w:pStyle w:val="afa"/>
        <w:divId w:val="797454052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При имеющихся клинических изменениях органа зрения, к полученным положительным однократным результатам, при обследовании больного на туберкулез, необходимо относиться с осторожностью и продолжить углубленное обследование в условиях специализированного медицинского учреждения (ПТС). </w:t>
      </w:r>
    </w:p>
    <w:p w:rsidR="009F17BC" w:rsidRDefault="00753BA6">
      <w:pPr>
        <w:pStyle w:val="afa"/>
        <w:divId w:val="797454052"/>
      </w:pPr>
      <w:r>
        <w:rPr>
          <w:rStyle w:val="aff9"/>
          <w:b/>
          <w:bCs/>
        </w:rPr>
        <w:t>Углубленная диагностика проводится в условиях противотуберкулезного диспансера, противотуберкулезной больницы или НИИ фтизиатрического профиля</w:t>
      </w:r>
      <w:r>
        <w:rPr>
          <w:rStyle w:val="aff9"/>
        </w:rPr>
        <w:t xml:space="preserve">. </w:t>
      </w:r>
    </w:p>
    <w:p w:rsidR="009F17BC" w:rsidRDefault="00753BA6" w:rsidP="00753BA6">
      <w:pPr>
        <w:numPr>
          <w:ilvl w:val="0"/>
          <w:numId w:val="20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Флюорография органов грудной полости или обзорная рентгенограмма легких рекомендуется всем пациентам [1, 3, 4, 9].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C21E3D">
        <w:rPr>
          <w:rStyle w:val="aff8"/>
        </w:rPr>
        <w:t>С</w:t>
      </w:r>
      <w:r>
        <w:t xml:space="preserve"> (уровень </w:t>
      </w:r>
      <w:r w:rsidR="00C21E3D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21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t>Рентгенография в 2-х проекциях органов грудной полости рекомендуется всем пациентам, у которых имеются подозрительные изменения на туберкулез легких [9].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</w:t>
      </w:r>
      <w:r w:rsidR="00C21E3D">
        <w:rPr>
          <w:rStyle w:val="aff8"/>
        </w:rPr>
        <w:t>С</w:t>
      </w:r>
      <w:r>
        <w:t xml:space="preserve"> (уровень </w:t>
      </w:r>
      <w:r w:rsidR="00C21E3D">
        <w:t>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22"/>
        </w:numPr>
        <w:spacing w:before="100" w:beforeAutospacing="1" w:after="100" w:afterAutospacing="1" w:line="240" w:lineRule="auto"/>
        <w:divId w:val="797454052"/>
        <w:rPr>
          <w:rFonts w:eastAsia="Times New Roman"/>
        </w:rPr>
      </w:pPr>
      <w:r>
        <w:rPr>
          <w:rFonts w:eastAsia="Times New Roman"/>
        </w:rPr>
        <w:lastRenderedPageBreak/>
        <w:t>Пробное лечение противотуберкулезными препаратами рекомендуется всем пациентам [3, 4].</w:t>
      </w:r>
    </w:p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>
      <w:pPr>
        <w:pStyle w:val="afa"/>
        <w:divId w:val="797454052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Иммунодиагностика проводится для выявления сенсибилизации организма к микобактериям туберкулеза. </w:t>
      </w:r>
      <w:proofErr w:type="spellStart"/>
      <w:r>
        <w:rPr>
          <w:rStyle w:val="aff9"/>
        </w:rPr>
        <w:t>Туберкулинодиагностика</w:t>
      </w:r>
      <w:proofErr w:type="spellEnd"/>
      <w:r>
        <w:rPr>
          <w:rStyle w:val="aff9"/>
        </w:rPr>
        <w:t xml:space="preserve"> (проба Манту с 2 ТЕ). Проба Коха 10 ТЕ, 20 ТЕ и 50 ТЕ) с оценкой очаговой, местной и общей реакции через 24 ч., 48 ч. и 72 ч. Противопоказания для </w:t>
      </w:r>
      <w:proofErr w:type="spellStart"/>
      <w:r>
        <w:rPr>
          <w:rStyle w:val="aff9"/>
        </w:rPr>
        <w:t>туберкулинодиагностики</w:t>
      </w:r>
      <w:proofErr w:type="spellEnd"/>
      <w:r>
        <w:rPr>
          <w:rStyle w:val="aff9"/>
        </w:rPr>
        <w:t xml:space="preserve">: туберкулёз любых </w:t>
      </w:r>
      <w:proofErr w:type="spellStart"/>
      <w:r>
        <w:rPr>
          <w:rStyle w:val="aff9"/>
        </w:rPr>
        <w:t>внеглазных</w:t>
      </w:r>
      <w:proofErr w:type="spellEnd"/>
      <w:r>
        <w:rPr>
          <w:rStyle w:val="aff9"/>
        </w:rPr>
        <w:t xml:space="preserve"> локализаций в активной фазе, бронхиальная астма, ревматизм, аллергические дерматиты с выраженными кожными проявлениями, беременность, тяжёлые поражения печени в стадии декомпенсации, онкологические заболевания, декомпенсация сердечно-сосудистой системы. Кроме того, </w:t>
      </w:r>
      <w:proofErr w:type="spellStart"/>
      <w:r>
        <w:rPr>
          <w:rStyle w:val="aff9"/>
        </w:rPr>
        <w:t>туберкулинодиагностика</w:t>
      </w:r>
      <w:proofErr w:type="spellEnd"/>
      <w:r>
        <w:rPr>
          <w:rStyle w:val="aff9"/>
        </w:rPr>
        <w:t xml:space="preserve"> не показана при выраженной геморрагической активности, при помутнениях оптических сред, что исключает возможность оценки состояния глазного дна; при локализации патологических очагов в </w:t>
      </w:r>
      <w:proofErr w:type="spellStart"/>
      <w:r>
        <w:rPr>
          <w:rStyle w:val="aff9"/>
        </w:rPr>
        <w:t>макулярной</w:t>
      </w:r>
      <w:proofErr w:type="spellEnd"/>
      <w:r>
        <w:rPr>
          <w:rStyle w:val="aff9"/>
        </w:rPr>
        <w:t xml:space="preserve"> зоне на обоих глазах. </w:t>
      </w:r>
      <w:proofErr w:type="spellStart"/>
      <w:r>
        <w:rPr>
          <w:rStyle w:val="aff8"/>
          <w:i/>
          <w:iCs/>
        </w:rPr>
        <w:t>Диаскин</w:t>
      </w:r>
      <w:proofErr w:type="spellEnd"/>
      <w:r>
        <w:rPr>
          <w:rStyle w:val="aff8"/>
          <w:i/>
          <w:iCs/>
        </w:rPr>
        <w:t>-тест -</w:t>
      </w:r>
      <w:r>
        <w:rPr>
          <w:rStyle w:val="aff9"/>
        </w:rPr>
        <w:t xml:space="preserve"> метод диагностики туберкулеза путем инъекции специального раствора, содержащего рекомбинантный белок CFP10-ESAT6. Противопоказания к проведению </w:t>
      </w:r>
      <w:proofErr w:type="spellStart"/>
      <w:r>
        <w:rPr>
          <w:rStyle w:val="aff9"/>
        </w:rPr>
        <w:t>Диаскин</w:t>
      </w:r>
      <w:proofErr w:type="spellEnd"/>
      <w:r>
        <w:rPr>
          <w:rStyle w:val="aff9"/>
        </w:rPr>
        <w:t>-теста: хронические и острые инфекционные заболевания с высокой температурой, острая фаза заболевания, выраженная аллергия, эпилепсия, карантин по детским инфекциям, после любых профилактических прививок прошло менее месяца.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Методика проведения </w:t>
      </w:r>
      <w:proofErr w:type="spellStart"/>
      <w:r>
        <w:rPr>
          <w:rStyle w:val="aff9"/>
        </w:rPr>
        <w:t>туберкулинодиагностики</w:t>
      </w:r>
      <w:proofErr w:type="spellEnd"/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Выбор дозы туберкулина осуществляют в соответствии с клинической формой, остротой зрения, локализацией и степенью активности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(</w:t>
      </w:r>
      <w:proofErr w:type="spellStart"/>
      <w:r>
        <w:rPr>
          <w:rStyle w:val="aff9"/>
        </w:rPr>
        <w:t>табл</w:t>
      </w:r>
      <w:proofErr w:type="spellEnd"/>
      <w:r>
        <w:rPr>
          <w:rStyle w:val="aff9"/>
        </w:rPr>
        <w:t xml:space="preserve"> 2).</w:t>
      </w:r>
    </w:p>
    <w:p w:rsidR="009F17BC" w:rsidRDefault="00753BA6">
      <w:pPr>
        <w:pStyle w:val="afa"/>
        <w:divId w:val="797454052"/>
      </w:pPr>
      <w:r>
        <w:rPr>
          <w:rStyle w:val="aff8"/>
        </w:rPr>
        <w:t xml:space="preserve">Таблица 2 Принципы выбора доз туберкулина в зависимости от клинической формы, остроты зрения, локализации и степени активности </w:t>
      </w:r>
      <w:proofErr w:type="spellStart"/>
      <w:r>
        <w:rPr>
          <w:rStyle w:val="aff8"/>
        </w:rPr>
        <w:t>увеита</w:t>
      </w:r>
      <w:proofErr w:type="spellEnd"/>
      <w:r>
        <w:rPr>
          <w:rStyle w:val="aff8"/>
        </w:rPr>
        <w:t xml:space="preserve"> у взрослых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700"/>
        <w:gridCol w:w="3600"/>
      </w:tblGrid>
      <w:tr w:rsidR="009F17BC">
        <w:trPr>
          <w:divId w:val="797454052"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Клинические формы </w:t>
            </w:r>
            <w:proofErr w:type="spellStart"/>
            <w:r>
              <w:t>увеита</w:t>
            </w:r>
            <w:proofErr w:type="spellEnd"/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Дозы туберкулина</w:t>
            </w:r>
          </w:p>
        </w:tc>
      </w:tr>
      <w:tr w:rsidR="009F17BC">
        <w:trPr>
          <w:divId w:val="7974540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Первая туберкулиновая проба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Повторные туберкулиновые пробы (при отсутствии очаговой реакции на предыдущую пробу)</w:t>
            </w:r>
          </w:p>
        </w:tc>
      </w:tr>
      <w:tr w:rsidR="009F17BC">
        <w:trPr>
          <w:divId w:val="79745405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t>Хориоретиниты</w:t>
            </w:r>
            <w:proofErr w:type="spellEnd"/>
            <w:r>
              <w:t xml:space="preserve"> активные при центральной или </w:t>
            </w:r>
            <w:proofErr w:type="spellStart"/>
            <w:r>
              <w:t>парацентральной</w:t>
            </w:r>
            <w:proofErr w:type="spellEnd"/>
            <w:r>
              <w:t xml:space="preserve"> локализации при остроте зрения</w:t>
            </w:r>
          </w:p>
          <w:p w:rsidR="009F17BC" w:rsidRDefault="00753BA6">
            <w:pPr>
              <w:pStyle w:val="afa"/>
            </w:pPr>
            <w:r>
              <w:t>А) 0,1 и выше</w:t>
            </w:r>
          </w:p>
          <w:p w:rsidR="009F17BC" w:rsidRDefault="00753BA6">
            <w:pPr>
              <w:pStyle w:val="afa"/>
            </w:pPr>
            <w:r>
              <w:t>Б) ниже 0,1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Проба Манту (разведение 1:10</w:t>
            </w:r>
            <w:r>
              <w:rPr>
                <w:vertAlign w:val="superscript"/>
              </w:rPr>
              <w:t>5</w:t>
            </w:r>
            <w:r>
              <w:t xml:space="preserve"> 0,1 мл)</w:t>
            </w:r>
          </w:p>
          <w:p w:rsidR="009F17BC" w:rsidRDefault="00753BA6">
            <w:pPr>
              <w:pStyle w:val="afa"/>
              <w:jc w:val="center"/>
            </w:pPr>
            <w:r>
              <w:lastRenderedPageBreak/>
              <w:t>Проба Манту 2 ТЕ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lastRenderedPageBreak/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Проба Манту 2 ТЕ</w:t>
            </w:r>
          </w:p>
          <w:p w:rsidR="009F17BC" w:rsidRDefault="00753BA6">
            <w:pPr>
              <w:pStyle w:val="afa"/>
              <w:jc w:val="center"/>
            </w:pPr>
            <w:r>
              <w:t>10-20-50 ТЕ</w:t>
            </w:r>
          </w:p>
          <w:p w:rsidR="009F17BC" w:rsidRDefault="00753BA6">
            <w:pPr>
              <w:pStyle w:val="afa"/>
              <w:jc w:val="center"/>
            </w:pPr>
            <w:r>
              <w:lastRenderedPageBreak/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10-20-50 ТЕ</w:t>
            </w:r>
          </w:p>
        </w:tc>
      </w:tr>
      <w:tr w:rsidR="009F17BC">
        <w:trPr>
          <w:divId w:val="79745405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Центральные </w:t>
            </w:r>
            <w:proofErr w:type="spellStart"/>
            <w:r>
              <w:t>хориоретиниты</w:t>
            </w:r>
            <w:proofErr w:type="spellEnd"/>
            <w:r>
              <w:t xml:space="preserve"> без признаков активности и периферические активные и неактивные </w:t>
            </w:r>
            <w:proofErr w:type="spellStart"/>
            <w:r>
              <w:t>хориоретиниты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Проба Манту 2 ТЕ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10-20-50 ТЕ</w:t>
            </w:r>
          </w:p>
        </w:tc>
      </w:tr>
      <w:tr w:rsidR="009F17BC">
        <w:trPr>
          <w:divId w:val="79745405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Передние и срединные </w:t>
            </w:r>
            <w:proofErr w:type="spellStart"/>
            <w:r>
              <w:t>увеиты</w:t>
            </w:r>
            <w:proofErr w:type="spellEnd"/>
          </w:p>
          <w:p w:rsidR="009F17BC" w:rsidRDefault="00753BA6">
            <w:pPr>
              <w:pStyle w:val="afa"/>
            </w:pPr>
            <w:r>
              <w:t>А) активные</w:t>
            </w:r>
          </w:p>
          <w:p w:rsidR="009F17BC" w:rsidRDefault="00753BA6">
            <w:pPr>
              <w:pStyle w:val="afa"/>
            </w:pPr>
            <w:r>
              <w:t>Б) без признаков активности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Проба Манту (разведение 1:10</w:t>
            </w:r>
            <w:r>
              <w:rPr>
                <w:vertAlign w:val="superscript"/>
              </w:rPr>
              <w:t xml:space="preserve">5 </w:t>
            </w:r>
            <w:r>
              <w:t>0,1 мл)</w:t>
            </w:r>
          </w:p>
          <w:p w:rsidR="009F17BC" w:rsidRDefault="00753BA6">
            <w:pPr>
              <w:pStyle w:val="afa"/>
              <w:jc w:val="center"/>
            </w:pPr>
            <w:r>
              <w:t>Проба Манту 2 ТЕ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 </w:t>
            </w:r>
          </w:p>
          <w:p w:rsidR="009F17BC" w:rsidRDefault="00753BA6">
            <w:pPr>
              <w:pStyle w:val="afa"/>
              <w:jc w:val="center"/>
            </w:pPr>
            <w:r>
              <w:t>2 ТЕ</w:t>
            </w:r>
          </w:p>
          <w:p w:rsidR="009F17BC" w:rsidRDefault="00753BA6">
            <w:pPr>
              <w:pStyle w:val="afa"/>
              <w:jc w:val="center"/>
            </w:pPr>
            <w:r>
              <w:t>10-20 -50 ТЕ</w:t>
            </w:r>
          </w:p>
          <w:p w:rsidR="009F17BC" w:rsidRDefault="00753BA6">
            <w:pPr>
              <w:pStyle w:val="afa"/>
              <w:jc w:val="center"/>
            </w:pPr>
            <w:r>
              <w:t>20-50 ТЕ</w:t>
            </w:r>
          </w:p>
        </w:tc>
      </w:tr>
    </w:tbl>
    <w:p w:rsidR="009F17BC" w:rsidRDefault="00753BA6">
      <w:pPr>
        <w:pStyle w:val="afa"/>
        <w:divId w:val="797454052"/>
        <w:rPr>
          <w:rFonts w:eastAsiaTheme="minorEastAsia"/>
        </w:rPr>
      </w:pPr>
      <w:r>
        <w:rPr>
          <w:rStyle w:val="aff9"/>
        </w:rPr>
        <w:t xml:space="preserve">Интерпретация результатов. Местная реакция оценивается через 72 ч по величине папулы: положительная - при размере 5 мм и более, </w:t>
      </w:r>
      <w:proofErr w:type="spellStart"/>
      <w:r>
        <w:rPr>
          <w:rStyle w:val="aff9"/>
        </w:rPr>
        <w:t>гиперергическая</w:t>
      </w:r>
      <w:proofErr w:type="spellEnd"/>
      <w:r>
        <w:rPr>
          <w:rStyle w:val="aff9"/>
        </w:rPr>
        <w:t xml:space="preserve"> у взрослых – 21 мм, </w:t>
      </w:r>
      <w:proofErr w:type="spellStart"/>
      <w:r>
        <w:rPr>
          <w:rStyle w:val="aff9"/>
        </w:rPr>
        <w:t>гиперергической</w:t>
      </w:r>
      <w:proofErr w:type="spellEnd"/>
      <w:r>
        <w:rPr>
          <w:rStyle w:val="aff9"/>
        </w:rPr>
        <w:t xml:space="preserve"> также можно считать </w:t>
      </w:r>
      <w:proofErr w:type="spellStart"/>
      <w:r>
        <w:rPr>
          <w:rStyle w:val="aff9"/>
        </w:rPr>
        <w:t>везикулезно</w:t>
      </w:r>
      <w:proofErr w:type="spellEnd"/>
      <w:r>
        <w:rPr>
          <w:rStyle w:val="aff9"/>
        </w:rPr>
        <w:t xml:space="preserve">-некротическую реакцию независимо от размера. 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Очаговая реакция может проявиться: </w:t>
      </w:r>
    </w:p>
    <w:p w:rsidR="009F17BC" w:rsidRDefault="00753BA6">
      <w:pPr>
        <w:pStyle w:val="afa"/>
        <w:divId w:val="797454052"/>
      </w:pPr>
      <w:r>
        <w:rPr>
          <w:rStyle w:val="aff9"/>
        </w:rPr>
        <w:t>1. снижением остроты зрения;</w:t>
      </w:r>
    </w:p>
    <w:p w:rsidR="009F17BC" w:rsidRDefault="00753BA6">
      <w:pPr>
        <w:pStyle w:val="afa"/>
        <w:divId w:val="797454052"/>
      </w:pPr>
      <w:r>
        <w:rPr>
          <w:rStyle w:val="aff9"/>
        </w:rPr>
        <w:t>2. увеличением скотомы и/или слепого пятна;</w:t>
      </w:r>
    </w:p>
    <w:p w:rsidR="009F17BC" w:rsidRDefault="00753BA6">
      <w:pPr>
        <w:pStyle w:val="afa"/>
        <w:divId w:val="797454052"/>
      </w:pPr>
      <w:r>
        <w:rPr>
          <w:rStyle w:val="aff9"/>
        </w:rPr>
        <w:t>3. повышением внутриглазного давления;</w:t>
      </w:r>
    </w:p>
    <w:p w:rsidR="009F17BC" w:rsidRDefault="00753BA6">
      <w:pPr>
        <w:pStyle w:val="afa"/>
        <w:divId w:val="797454052"/>
      </w:pPr>
      <w:r>
        <w:rPr>
          <w:rStyle w:val="aff9"/>
        </w:rPr>
        <w:t>4. увеличением количества преципитатов или их появлением;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5. увеличением помутнений в стекловидном теле, усилением клеточной реакции, появлением </w:t>
      </w:r>
      <w:proofErr w:type="spellStart"/>
      <w:r>
        <w:rPr>
          <w:rStyle w:val="aff9"/>
        </w:rPr>
        <w:t>интравитреальных</w:t>
      </w:r>
      <w:proofErr w:type="spellEnd"/>
      <w:r>
        <w:rPr>
          <w:rStyle w:val="aff9"/>
        </w:rPr>
        <w:t xml:space="preserve"> геморрагий;</w:t>
      </w:r>
    </w:p>
    <w:p w:rsidR="009F17BC" w:rsidRDefault="00753BA6">
      <w:pPr>
        <w:pStyle w:val="afa"/>
        <w:divId w:val="797454052"/>
      </w:pPr>
      <w:r>
        <w:rPr>
          <w:rStyle w:val="aff9"/>
        </w:rPr>
        <w:t>6. усилением отека или экссудации в области хориоретинальных фокусов;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7. появлением или усилением </w:t>
      </w:r>
      <w:proofErr w:type="spellStart"/>
      <w:r>
        <w:rPr>
          <w:rStyle w:val="aff9"/>
        </w:rPr>
        <w:t>макулярного</w:t>
      </w:r>
      <w:proofErr w:type="spellEnd"/>
      <w:r>
        <w:rPr>
          <w:rStyle w:val="aff9"/>
        </w:rPr>
        <w:t xml:space="preserve"> отека;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8. появлением или увеличением </w:t>
      </w:r>
      <w:proofErr w:type="spellStart"/>
      <w:r>
        <w:rPr>
          <w:rStyle w:val="aff9"/>
        </w:rPr>
        <w:t>интраретинальных</w:t>
      </w:r>
      <w:proofErr w:type="spellEnd"/>
      <w:r>
        <w:rPr>
          <w:rStyle w:val="aff9"/>
        </w:rPr>
        <w:t xml:space="preserve"> кровоизлияний.</w:t>
      </w:r>
    </w:p>
    <w:p w:rsidR="009F17BC" w:rsidRDefault="00753BA6">
      <w:pPr>
        <w:pStyle w:val="afa"/>
        <w:divId w:val="797454052"/>
      </w:pPr>
      <w:r>
        <w:rPr>
          <w:rStyle w:val="aff9"/>
        </w:rPr>
        <w:t xml:space="preserve">При введении туберкулина очаговая реакция может также проявиться в уменьшении воспалительной реакции: резорбции роговичных преципитатов, рассасывании экссудата, уменьшении </w:t>
      </w:r>
      <w:proofErr w:type="spellStart"/>
      <w:r>
        <w:rPr>
          <w:rStyle w:val="aff9"/>
        </w:rPr>
        <w:t>ретинального</w:t>
      </w:r>
      <w:proofErr w:type="spellEnd"/>
      <w:r>
        <w:rPr>
          <w:rStyle w:val="aff9"/>
        </w:rPr>
        <w:t xml:space="preserve"> отека, сокращении скотом и повышении остроты зрения. </w:t>
      </w:r>
    </w:p>
    <w:p w:rsidR="009F17BC" w:rsidRDefault="00753BA6">
      <w:pPr>
        <w:pStyle w:val="afa"/>
        <w:divId w:val="797454052"/>
      </w:pPr>
      <w:r>
        <w:rPr>
          <w:rStyle w:val="aff9"/>
        </w:rPr>
        <w:t>При получении очаговой реакции на пробу Манту, даже при отрицательной местной, можно считать, туберкулезную этиологию доказанной.</w:t>
      </w:r>
    </w:p>
    <w:p w:rsidR="009F17BC" w:rsidRDefault="00753BA6">
      <w:pPr>
        <w:pStyle w:val="afa"/>
        <w:divId w:val="797454052"/>
      </w:pPr>
      <w:r>
        <w:rPr>
          <w:rStyle w:val="aff9"/>
        </w:rPr>
        <w:lastRenderedPageBreak/>
        <w:t>Если кожная реакция Манту положительная, а очаговая реакция отрицательная, необходимо продолжить исследование с увеличением дозы туберкулина до 50 единиц. При отрицательной местной и очаговой реакции в ответ на постановку пробы Манту вплоть до 50 ТЕ, туберкулезная этиология глазного процесса отвергается.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bookmarkStart w:id="13" w:name="_Toc481656227"/>
      <w:r w:rsidRPr="00774A3F">
        <w:rPr>
          <w:sz w:val="28"/>
          <w:szCs w:val="28"/>
          <w:u w:val="none"/>
        </w:rPr>
        <w:t>3. Лечение</w:t>
      </w:r>
      <w:bookmarkEnd w:id="13"/>
    </w:p>
    <w:p w:rsidR="009F17BC" w:rsidRDefault="00753BA6">
      <w:pPr>
        <w:pStyle w:val="afa"/>
        <w:divId w:val="728572706"/>
      </w:pPr>
      <w:r>
        <w:rPr>
          <w:rStyle w:val="aff9"/>
        </w:rPr>
        <w:t xml:space="preserve">Необходимо лечение туберкулезных </w:t>
      </w:r>
      <w:proofErr w:type="spellStart"/>
      <w:r>
        <w:rPr>
          <w:rStyle w:val="aff9"/>
        </w:rPr>
        <w:t>увеитов</w:t>
      </w:r>
      <w:proofErr w:type="spellEnd"/>
      <w:r>
        <w:rPr>
          <w:rStyle w:val="aff9"/>
        </w:rPr>
        <w:t xml:space="preserve"> проводить в условиях стационара, дневного стационара, амбулаторно. Регламентируется Приказом МЗ РФ № 109 от 21 марта 2003г. (ред. от 29.10.2009) «О совершенствовании противотуберкулёзных мероприятий в Российской Федерации» [6].</w:t>
      </w:r>
    </w:p>
    <w:p w:rsidR="009F17BC" w:rsidRDefault="00753BA6">
      <w:pPr>
        <w:pStyle w:val="afa"/>
        <w:divId w:val="728572706"/>
      </w:pPr>
      <w:r>
        <w:rPr>
          <w:rStyle w:val="aff9"/>
        </w:rPr>
        <w:t xml:space="preserve">Основные принципы терапии  больных с туберкулезными </w:t>
      </w:r>
      <w:proofErr w:type="spellStart"/>
      <w:r>
        <w:rPr>
          <w:rStyle w:val="aff9"/>
        </w:rPr>
        <w:t>увеитами</w:t>
      </w:r>
      <w:proofErr w:type="spellEnd"/>
      <w:r>
        <w:rPr>
          <w:rStyle w:val="aff9"/>
        </w:rPr>
        <w:t xml:space="preserve">: комплексное длительное лечение пациентов, основу которого должно  составлять  сочетание   препаратов,  подавляющих  микобактерии туберкулеза, угнетающих воспалительную реакцию,  а  также нормализующих иммунный статус; индивидуальный подход к лечению больных  с  туберкулезными </w:t>
      </w:r>
      <w:proofErr w:type="spellStart"/>
      <w:r>
        <w:rPr>
          <w:rStyle w:val="aff9"/>
        </w:rPr>
        <w:t>увеитами</w:t>
      </w:r>
      <w:proofErr w:type="spellEnd"/>
      <w:r>
        <w:rPr>
          <w:rStyle w:val="aff9"/>
        </w:rPr>
        <w:t xml:space="preserve">, который  обусловлен  локализацией, распространенностью и активностью как глазных, так и </w:t>
      </w:r>
      <w:proofErr w:type="spellStart"/>
      <w:r>
        <w:rPr>
          <w:rStyle w:val="aff9"/>
        </w:rPr>
        <w:t>внеглазных</w:t>
      </w:r>
      <w:proofErr w:type="spellEnd"/>
      <w:r>
        <w:rPr>
          <w:rStyle w:val="aff9"/>
        </w:rPr>
        <w:t xml:space="preserve"> очагов; снижение количества общих и глазных осложнений  в  ходе проводимого лечения.</w:t>
      </w:r>
    </w:p>
    <w:p w:rsidR="009F17BC" w:rsidRPr="00774A3F" w:rsidRDefault="00753BA6" w:rsidP="00774A3F">
      <w:pPr>
        <w:ind w:firstLine="709"/>
        <w:divId w:val="728572706"/>
        <w:rPr>
          <w:rFonts w:eastAsia="Times New Roman"/>
          <w:b/>
          <w:u w:val="single"/>
        </w:rPr>
      </w:pPr>
      <w:bookmarkStart w:id="14" w:name="_Toc469476253"/>
      <w:bookmarkEnd w:id="14"/>
      <w:r w:rsidRPr="00774A3F">
        <w:rPr>
          <w:rFonts w:eastAsia="Times New Roman"/>
          <w:b/>
          <w:u w:val="single"/>
        </w:rPr>
        <w:t>3.1 Консервативное лечение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u w:val="single"/>
        </w:rPr>
        <w:t>Местная терапия</w:t>
      </w:r>
    </w:p>
    <w:p w:rsidR="009F17BC" w:rsidRDefault="00753BA6">
      <w:pPr>
        <w:pStyle w:val="afa"/>
        <w:divId w:val="728572706"/>
      </w:pPr>
      <w:r>
        <w:t xml:space="preserve">В активную фазу и фазу обратного развития туберкулезного </w:t>
      </w:r>
      <w:proofErr w:type="spellStart"/>
      <w:r>
        <w:t>увеита</w:t>
      </w:r>
      <w:proofErr w:type="spellEnd"/>
      <w:r>
        <w:t>:</w:t>
      </w:r>
    </w:p>
    <w:p w:rsidR="009F17BC" w:rsidRDefault="00753BA6" w:rsidP="00753BA6">
      <w:pPr>
        <w:numPr>
          <w:ilvl w:val="0"/>
          <w:numId w:val="23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proofErr w:type="spellStart"/>
      <w:r>
        <w:rPr>
          <w:rFonts w:eastAsia="Times New Roman"/>
        </w:rPr>
        <w:t>мидриатики</w:t>
      </w:r>
      <w:proofErr w:type="spellEnd"/>
      <w:r>
        <w:rPr>
          <w:rFonts w:eastAsia="Times New Roman"/>
        </w:rPr>
        <w:t xml:space="preserve"> в инстилляциях или </w:t>
      </w:r>
      <w:proofErr w:type="spellStart"/>
      <w:r>
        <w:rPr>
          <w:rFonts w:eastAsia="Times New Roman"/>
        </w:rPr>
        <w:t>субконъюнктивально</w:t>
      </w:r>
      <w:proofErr w:type="spellEnd"/>
      <w:r>
        <w:rPr>
          <w:rFonts w:eastAsia="Times New Roman"/>
        </w:rPr>
        <w:t xml:space="preserve"> рекомендуются всем больным с поражением переднего отдела глаза [1, 2, 3, 4].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 w:rsidP="00753BA6">
      <w:pPr>
        <w:numPr>
          <w:ilvl w:val="0"/>
          <w:numId w:val="24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t xml:space="preserve">кортикостероиды в инстилляциях или </w:t>
      </w:r>
      <w:proofErr w:type="spellStart"/>
      <w:r>
        <w:rPr>
          <w:rFonts w:eastAsia="Times New Roman"/>
        </w:rPr>
        <w:t>субконъюнктивально</w:t>
      </w:r>
      <w:proofErr w:type="spellEnd"/>
      <w:r>
        <w:rPr>
          <w:rFonts w:eastAsia="Times New Roman"/>
        </w:rPr>
        <w:t xml:space="preserve"> рекомендуются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t>всем больным с поражением переднего отдела глаза [1, 2, 3, 4].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 w:rsidP="00753BA6">
      <w:pPr>
        <w:numPr>
          <w:ilvl w:val="0"/>
          <w:numId w:val="25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t xml:space="preserve">кортикостероиды </w:t>
      </w:r>
      <w:proofErr w:type="spellStart"/>
      <w:r>
        <w:rPr>
          <w:rFonts w:eastAsia="Times New Roman"/>
        </w:rPr>
        <w:t>периокулярно</w:t>
      </w:r>
      <w:proofErr w:type="spellEnd"/>
      <w:r>
        <w:rPr>
          <w:rFonts w:eastAsia="Times New Roman"/>
        </w:rPr>
        <w:t xml:space="preserve"> рекомендуются всем больным с поражением заднего отдела глаза [1, 2, 3, 4].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 w:rsidP="00753BA6">
      <w:pPr>
        <w:numPr>
          <w:ilvl w:val="0"/>
          <w:numId w:val="26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proofErr w:type="spellStart"/>
      <w:r>
        <w:rPr>
          <w:rFonts w:eastAsia="Times New Roman"/>
        </w:rPr>
        <w:t>Изониазид</w:t>
      </w:r>
      <w:proofErr w:type="spellEnd"/>
      <w:r>
        <w:rPr>
          <w:rFonts w:eastAsia="Times New Roman"/>
        </w:rPr>
        <w:t xml:space="preserve"> #**3% 0,3 - 0,5 </w:t>
      </w:r>
      <w:proofErr w:type="spellStart"/>
      <w:r>
        <w:rPr>
          <w:rFonts w:eastAsia="Times New Roman"/>
        </w:rPr>
        <w:t>периокулярно</w:t>
      </w:r>
      <w:proofErr w:type="spellEnd"/>
      <w:r>
        <w:rPr>
          <w:rFonts w:eastAsia="Times New Roman"/>
        </w:rPr>
        <w:t xml:space="preserve"> рекомендуется всем больным с туберкулезными </w:t>
      </w:r>
      <w:proofErr w:type="spellStart"/>
      <w:r>
        <w:rPr>
          <w:rFonts w:eastAsia="Times New Roman"/>
        </w:rPr>
        <w:t>увеитами</w:t>
      </w:r>
      <w:proofErr w:type="spellEnd"/>
      <w:r>
        <w:rPr>
          <w:rFonts w:eastAsia="Times New Roman"/>
        </w:rPr>
        <w:t xml:space="preserve"> [2, 3, 4].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>
      <w:pPr>
        <w:pStyle w:val="afa"/>
        <w:divId w:val="728572706"/>
      </w:pPr>
      <w:r>
        <w:rPr>
          <w:rStyle w:val="aff8"/>
        </w:rPr>
        <w:lastRenderedPageBreak/>
        <w:t xml:space="preserve">Комментарии: </w:t>
      </w:r>
      <w:r>
        <w:rPr>
          <w:rStyle w:val="aff9"/>
        </w:rPr>
        <w:t xml:space="preserve">У пациентов с рецидивами туберкулёзных </w:t>
      </w:r>
      <w:proofErr w:type="spellStart"/>
      <w:r>
        <w:rPr>
          <w:rStyle w:val="aff9"/>
        </w:rPr>
        <w:t>увеитов</w:t>
      </w:r>
      <w:proofErr w:type="spellEnd"/>
      <w:r>
        <w:rPr>
          <w:rStyle w:val="aff9"/>
        </w:rPr>
        <w:t xml:space="preserve"> и с перерывами в лечении местная этиотропная химиотерапия состоит из </w:t>
      </w:r>
      <w:proofErr w:type="spellStart"/>
      <w:r>
        <w:rPr>
          <w:rStyle w:val="aff9"/>
        </w:rPr>
        <w:t>изониазида</w:t>
      </w:r>
      <w:proofErr w:type="spellEnd"/>
      <w:r>
        <w:t>#**</w:t>
      </w:r>
      <w:r>
        <w:rPr>
          <w:rStyle w:val="aff9"/>
        </w:rPr>
        <w:t xml:space="preserve">и препарата </w:t>
      </w:r>
      <w:proofErr w:type="spellStart"/>
      <w:r>
        <w:rPr>
          <w:rStyle w:val="aff9"/>
        </w:rPr>
        <w:t>фторхинолонового</w:t>
      </w:r>
      <w:proofErr w:type="spellEnd"/>
      <w:r>
        <w:rPr>
          <w:rStyle w:val="aff9"/>
        </w:rPr>
        <w:t xml:space="preserve"> ряда. Между курсами </w:t>
      </w:r>
      <w:proofErr w:type="spellStart"/>
      <w:r>
        <w:rPr>
          <w:rStyle w:val="aff9"/>
        </w:rPr>
        <w:t>изониазида</w:t>
      </w:r>
      <w:proofErr w:type="spellEnd"/>
      <w:r>
        <w:rPr>
          <w:rStyle w:val="aff9"/>
        </w:rPr>
        <w:t xml:space="preserve"> можно </w:t>
      </w:r>
      <w:proofErr w:type="spellStart"/>
      <w:r>
        <w:rPr>
          <w:rStyle w:val="aff9"/>
        </w:rPr>
        <w:t>местно</w:t>
      </w:r>
      <w:proofErr w:type="spellEnd"/>
      <w:r>
        <w:rPr>
          <w:rStyle w:val="aff9"/>
        </w:rPr>
        <w:t xml:space="preserve"> применять инстилляции 0,3 % раствора </w:t>
      </w:r>
      <w:proofErr w:type="spellStart"/>
      <w:r>
        <w:rPr>
          <w:rStyle w:val="aff9"/>
        </w:rPr>
        <w:t>офлоксацина</w:t>
      </w:r>
      <w:proofErr w:type="spellEnd"/>
      <w:r>
        <w:rPr>
          <w:rStyle w:val="aff9"/>
        </w:rPr>
        <w:t xml:space="preserve">**, 0,5 % раствора </w:t>
      </w:r>
      <w:proofErr w:type="spellStart"/>
      <w:r>
        <w:rPr>
          <w:rStyle w:val="aff9"/>
        </w:rPr>
        <w:t>моксифлоксацина</w:t>
      </w:r>
      <w:proofErr w:type="spellEnd"/>
      <w:r>
        <w:rPr>
          <w:rStyle w:val="aff9"/>
        </w:rPr>
        <w:t xml:space="preserve">** 0,3 % раствора </w:t>
      </w:r>
      <w:proofErr w:type="spellStart"/>
      <w:r>
        <w:rPr>
          <w:rStyle w:val="aff9"/>
        </w:rPr>
        <w:t>ципрофлоксацина</w:t>
      </w:r>
      <w:proofErr w:type="spellEnd"/>
      <w:r>
        <w:rPr>
          <w:rStyle w:val="aff9"/>
        </w:rPr>
        <w:t xml:space="preserve">** или 0,5 % раствора </w:t>
      </w:r>
      <w:proofErr w:type="spellStart"/>
      <w:r>
        <w:rPr>
          <w:rStyle w:val="aff9"/>
        </w:rPr>
        <w:t>левофлоксацина</w:t>
      </w:r>
      <w:proofErr w:type="spellEnd"/>
      <w:r>
        <w:rPr>
          <w:rStyle w:val="aff9"/>
        </w:rPr>
        <w:t>** по 1 капле 8 раз в день в течение 7-14 дней.</w:t>
      </w:r>
    </w:p>
    <w:p w:rsidR="009F17BC" w:rsidRDefault="00753BA6" w:rsidP="00753BA6">
      <w:pPr>
        <w:numPr>
          <w:ilvl w:val="0"/>
          <w:numId w:val="27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t xml:space="preserve">Рекомендовано всем больным с повышением внутриглазного давления при любой стадии </w:t>
      </w:r>
      <w:proofErr w:type="spellStart"/>
      <w:r>
        <w:rPr>
          <w:rFonts w:eastAsia="Times New Roman"/>
        </w:rPr>
        <w:t>увеального</w:t>
      </w:r>
      <w:proofErr w:type="spellEnd"/>
      <w:r>
        <w:rPr>
          <w:rFonts w:eastAsia="Times New Roman"/>
        </w:rPr>
        <w:t xml:space="preserve"> процесса при наличии глаукомы или </w:t>
      </w:r>
      <w:proofErr w:type="spellStart"/>
      <w:r>
        <w:rPr>
          <w:rFonts w:eastAsia="Times New Roman"/>
        </w:rPr>
        <w:t>офтальмогипертензии</w:t>
      </w:r>
      <w:proofErr w:type="spellEnd"/>
      <w:r>
        <w:rPr>
          <w:rFonts w:eastAsia="Times New Roman"/>
        </w:rPr>
        <w:t>: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t>β-блокаторы, ингибиторы карбоангидразы, комбинированные препараты [2, 3, 4].</w:t>
      </w:r>
    </w:p>
    <w:p w:rsidR="009F17BC" w:rsidRDefault="00753BA6">
      <w:pPr>
        <w:pStyle w:val="afa"/>
        <w:divId w:val="728572706"/>
      </w:pPr>
      <w:r>
        <w:t xml:space="preserve">Препараты </w:t>
      </w:r>
      <w:proofErr w:type="spellStart"/>
      <w:r>
        <w:t>простагландинового</w:t>
      </w:r>
      <w:proofErr w:type="spellEnd"/>
      <w:r>
        <w:t xml:space="preserve"> ряда при лечении не применяются.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Уровень убедительности рекомендаций С </w:t>
      </w:r>
      <w:r>
        <w:t>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rPr>
          <w:rStyle w:val="aff8"/>
        </w:rPr>
        <w:t>Таблица 3 Препараты для местной гипотензивной терапии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095"/>
      </w:tblGrid>
      <w:tr w:rsidR="009F17BC">
        <w:trPr>
          <w:divId w:val="72857270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Фармакологическая   группа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Препарат</w:t>
            </w:r>
          </w:p>
        </w:tc>
      </w:tr>
      <w:tr w:rsidR="009F17BC">
        <w:trPr>
          <w:divId w:val="72857270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</w:rPr>
              <w:t>Неселективные</w:t>
            </w:r>
          </w:p>
          <w:p w:rsidR="009F17BC" w:rsidRDefault="00753BA6">
            <w:pPr>
              <w:pStyle w:val="afa"/>
            </w:pPr>
            <w:r>
              <w:rPr>
                <w:rStyle w:val="aff9"/>
              </w:rPr>
              <w:t>β-</w:t>
            </w:r>
            <w:proofErr w:type="spellStart"/>
            <w:r>
              <w:rPr>
                <w:rStyle w:val="aff9"/>
              </w:rPr>
              <w:t>адреноблокаторы</w:t>
            </w:r>
            <w:proofErr w:type="spellEnd"/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тимолола</w:t>
            </w:r>
            <w:proofErr w:type="spellEnd"/>
            <w:r>
              <w:rPr>
                <w:rStyle w:val="aff9"/>
              </w:rPr>
              <w:t xml:space="preserve"> </w:t>
            </w:r>
            <w:proofErr w:type="spellStart"/>
            <w:r>
              <w:rPr>
                <w:rStyle w:val="aff9"/>
              </w:rPr>
              <w:t>малеат</w:t>
            </w:r>
            <w:proofErr w:type="spellEnd"/>
            <w:r>
              <w:rPr>
                <w:rStyle w:val="aff9"/>
              </w:rPr>
              <w:t>** 0,25%, 0,5%</w:t>
            </w:r>
          </w:p>
        </w:tc>
      </w:tr>
      <w:tr w:rsidR="009F17BC">
        <w:trPr>
          <w:divId w:val="72857270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</w:rPr>
              <w:t>Селективные</w:t>
            </w:r>
          </w:p>
          <w:p w:rsidR="009F17BC" w:rsidRDefault="00753BA6">
            <w:pPr>
              <w:pStyle w:val="afa"/>
            </w:pPr>
            <w:r>
              <w:rPr>
                <w:rStyle w:val="aff9"/>
              </w:rPr>
              <w:t>β-</w:t>
            </w:r>
            <w:proofErr w:type="spellStart"/>
            <w:r>
              <w:rPr>
                <w:rStyle w:val="aff9"/>
              </w:rPr>
              <w:t>адреноблокаторы</w:t>
            </w:r>
            <w:proofErr w:type="spellEnd"/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бетаксолол</w:t>
            </w:r>
            <w:proofErr w:type="spellEnd"/>
            <w:r>
              <w:rPr>
                <w:rStyle w:val="aff9"/>
              </w:rPr>
              <w:t xml:space="preserve"> 0,25%, 0,5%</w:t>
            </w:r>
          </w:p>
        </w:tc>
      </w:tr>
      <w:tr w:rsidR="009F17BC">
        <w:trPr>
          <w:divId w:val="72857270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</w:rPr>
              <w:t>α- и β-</w:t>
            </w:r>
            <w:proofErr w:type="spellStart"/>
            <w:r>
              <w:rPr>
                <w:rStyle w:val="aff9"/>
              </w:rPr>
              <w:t>адреноблокаторы</w:t>
            </w:r>
            <w:proofErr w:type="spellEnd"/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Бутиламиногидроксипропоксифеноксиметилметилоксадиазол</w:t>
            </w:r>
            <w:proofErr w:type="spellEnd"/>
            <w:r>
              <w:rPr>
                <w:rStyle w:val="aff9"/>
              </w:rPr>
              <w:t>**1%; 2%</w:t>
            </w:r>
          </w:p>
        </w:tc>
      </w:tr>
      <w:tr w:rsidR="009F17BC">
        <w:trPr>
          <w:divId w:val="728572706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</w:rPr>
              <w:t>Ингибиторы карбоангидразы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бринзоламид</w:t>
            </w:r>
            <w:proofErr w:type="spellEnd"/>
            <w:r>
              <w:rPr>
                <w:rStyle w:val="aff9"/>
              </w:rPr>
              <w:t xml:space="preserve"> 1%</w:t>
            </w:r>
          </w:p>
        </w:tc>
      </w:tr>
      <w:tr w:rsidR="009F17BC">
        <w:trPr>
          <w:divId w:val="728572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7BC" w:rsidRDefault="009F17BC">
            <w:pPr>
              <w:rPr>
                <w:rFonts w:eastAsiaTheme="minorEastAsia"/>
                <w:szCs w:val="24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Дорзоламид</w:t>
            </w:r>
            <w:proofErr w:type="spellEnd"/>
            <w:r>
              <w:rPr>
                <w:rStyle w:val="aff9"/>
              </w:rPr>
              <w:t>** 2%</w:t>
            </w:r>
          </w:p>
        </w:tc>
      </w:tr>
      <w:tr w:rsidR="009F17BC">
        <w:trPr>
          <w:divId w:val="72857270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</w:rPr>
              <w:t xml:space="preserve">α2-селективный </w:t>
            </w:r>
            <w:proofErr w:type="spellStart"/>
            <w:r>
              <w:rPr>
                <w:rStyle w:val="aff9"/>
              </w:rPr>
              <w:t>адреномиметик</w:t>
            </w:r>
            <w:proofErr w:type="spellEnd"/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proofErr w:type="spellStart"/>
            <w:r>
              <w:rPr>
                <w:rStyle w:val="aff9"/>
              </w:rPr>
              <w:t>бримонидин</w:t>
            </w:r>
            <w:proofErr w:type="spellEnd"/>
            <w:r>
              <w:rPr>
                <w:rStyle w:val="aff9"/>
              </w:rPr>
              <w:t xml:space="preserve"> 0,15%; 0,2%</w:t>
            </w:r>
          </w:p>
        </w:tc>
      </w:tr>
    </w:tbl>
    <w:p w:rsidR="009F17BC" w:rsidRDefault="00753BA6">
      <w:pPr>
        <w:pStyle w:val="afa"/>
        <w:jc w:val="center"/>
        <w:divId w:val="728572706"/>
        <w:rPr>
          <w:rFonts w:eastAsiaTheme="minorEastAsia"/>
        </w:rPr>
      </w:pPr>
      <w:r>
        <w:rPr>
          <w:rStyle w:val="aff8"/>
        </w:rPr>
        <w:t>Химиотерапия</w:t>
      </w:r>
    </w:p>
    <w:p w:rsidR="009F17BC" w:rsidRDefault="00753BA6">
      <w:pPr>
        <w:pStyle w:val="afa"/>
        <w:divId w:val="728572706"/>
      </w:pPr>
      <w:r>
        <w:t>Системное противотуберкулезное лечение (см Приложение Г.).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Схемы лечения туберкулезных </w:t>
      </w:r>
      <w:proofErr w:type="spellStart"/>
      <w:r>
        <w:rPr>
          <w:rStyle w:val="aff8"/>
        </w:rPr>
        <w:t>увеитов</w:t>
      </w:r>
      <w:proofErr w:type="spellEnd"/>
    </w:p>
    <w:p w:rsidR="009F17BC" w:rsidRDefault="00753BA6">
      <w:pPr>
        <w:pStyle w:val="afa"/>
        <w:divId w:val="728572706"/>
      </w:pPr>
      <w:r>
        <w:rPr>
          <w:rStyle w:val="aff8"/>
        </w:rPr>
        <w:t>Первый режим химиотерапии</w:t>
      </w:r>
    </w:p>
    <w:p w:rsidR="009F17BC" w:rsidRDefault="00753BA6" w:rsidP="00753BA6">
      <w:pPr>
        <w:numPr>
          <w:ilvl w:val="0"/>
          <w:numId w:val="28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t xml:space="preserve">Всем пациентам в фазе интенсивной терапии рекомендуется: </w:t>
      </w:r>
      <w:proofErr w:type="spellStart"/>
      <w:r>
        <w:rPr>
          <w:rFonts w:eastAsia="Times New Roman"/>
        </w:rPr>
        <w:t>изониазид</w:t>
      </w:r>
      <w:proofErr w:type="spellEnd"/>
      <w:r>
        <w:rPr>
          <w:rFonts w:eastAsia="Times New Roman"/>
        </w:rPr>
        <w:t xml:space="preserve">**, </w:t>
      </w:r>
      <w:proofErr w:type="spellStart"/>
      <w:r>
        <w:rPr>
          <w:rFonts w:eastAsia="Times New Roman"/>
        </w:rPr>
        <w:t>рифампицин</w:t>
      </w:r>
      <w:proofErr w:type="spellEnd"/>
      <w:r>
        <w:rPr>
          <w:rFonts w:eastAsia="Times New Roman"/>
        </w:rPr>
        <w:t xml:space="preserve">**, стрептомицин**, </w:t>
      </w:r>
      <w:proofErr w:type="spellStart"/>
      <w:r>
        <w:rPr>
          <w:rFonts w:eastAsia="Times New Roman"/>
        </w:rPr>
        <w:t>пиразинамид</w:t>
      </w:r>
      <w:proofErr w:type="spellEnd"/>
      <w:r>
        <w:rPr>
          <w:rFonts w:eastAsia="Times New Roman"/>
        </w:rPr>
        <w:t xml:space="preserve"> ** [3, 4, 9].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 w:rsidP="00753BA6">
      <w:pPr>
        <w:numPr>
          <w:ilvl w:val="0"/>
          <w:numId w:val="29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lastRenderedPageBreak/>
        <w:t xml:space="preserve">При лечении туберкулезных </w:t>
      </w:r>
      <w:proofErr w:type="spellStart"/>
      <w:r>
        <w:rPr>
          <w:rFonts w:eastAsia="Times New Roman"/>
        </w:rPr>
        <w:t>увеитов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этамбутол</w:t>
      </w:r>
      <w:proofErr w:type="spellEnd"/>
      <w:r>
        <w:rPr>
          <w:rFonts w:eastAsia="Times New Roman"/>
        </w:rPr>
        <w:t xml:space="preserve"> не применяется [2].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Комментарии: </w:t>
      </w:r>
      <w:r>
        <w:rPr>
          <w:rStyle w:val="aff9"/>
        </w:rPr>
        <w:t>Длительность фазы интенсивной терапии составляет:</w:t>
      </w:r>
    </w:p>
    <w:p w:rsidR="009F17BC" w:rsidRDefault="00753BA6">
      <w:pPr>
        <w:pStyle w:val="afa"/>
        <w:divId w:val="728572706"/>
      </w:pPr>
      <w:r>
        <w:rPr>
          <w:rStyle w:val="aff9"/>
        </w:rPr>
        <w:t>60 суточных доз противотуберкулезных лекарственных препаратов (не менее 2 месяцев), предписанных данным режимом, для больных впервые выявленным туберкулёзом;</w:t>
      </w:r>
    </w:p>
    <w:p w:rsidR="009F17BC" w:rsidRDefault="00753BA6">
      <w:pPr>
        <w:pStyle w:val="afa"/>
        <w:divId w:val="728572706"/>
      </w:pPr>
      <w:r>
        <w:rPr>
          <w:rStyle w:val="aff9"/>
        </w:rPr>
        <w:t>90 суточных доз противотуберкулезных лекарственных препаратов (не менее 3 месяцев) для больных туберкулезом из групп: после прерывания курса химиотерапии, рецидива туберкулёза, прочие случаи повторного лечения.</w:t>
      </w:r>
    </w:p>
    <w:p w:rsidR="009F17BC" w:rsidRDefault="00753BA6">
      <w:pPr>
        <w:pStyle w:val="afa"/>
        <w:divId w:val="728572706"/>
      </w:pPr>
      <w:r>
        <w:rPr>
          <w:rStyle w:val="aff9"/>
        </w:rPr>
        <w:t xml:space="preserve">Решением врачебной комиссии медицинской организации, оказывающей специализированную помощь по профилю «фтизиатрия», фаза интенсивной терапии продлевается: до 90 суточных доз противотуберкулезных лекарственных препаратов (до 3 месяцев) или до получения результатов определения лекарственной чувствительности возбудителя впервые выявленным больным туберкулезом;  после контролируемого приема 60 доз противотуберкулезных лекарственных препаратов, но при отсутствии положительного клинического улучшения; до приема 120 и 150 суточных доз противотуберкулезных лекарственных препаратов (до 4 или 5 месяцев) при тяжелом и осложненном течении туберкулеза любой локализации. </w:t>
      </w:r>
    </w:p>
    <w:p w:rsidR="009F17BC" w:rsidRDefault="00753BA6">
      <w:pPr>
        <w:pStyle w:val="afa"/>
        <w:divId w:val="728572706"/>
      </w:pPr>
      <w:r>
        <w:rPr>
          <w:rStyle w:val="aff9"/>
        </w:rPr>
        <w:t>Переход к фазе продолжения терапии производится после контролируемого приема всех доз фазы интенсивной терапии, предписанных данным режимом химиотерапии, при получении положительного клинического эффекта.</w:t>
      </w:r>
    </w:p>
    <w:p w:rsidR="009F17BC" w:rsidRDefault="00753BA6">
      <w:pPr>
        <w:pStyle w:val="afa"/>
        <w:divId w:val="728572706"/>
      </w:pPr>
      <w:r>
        <w:rPr>
          <w:rStyle w:val="aff9"/>
        </w:rPr>
        <w:t> </w:t>
      </w:r>
      <w:r>
        <w:rPr>
          <w:rStyle w:val="aff8"/>
        </w:rPr>
        <w:t>В фазе продолжения терапии</w:t>
      </w:r>
      <w:r>
        <w:t xml:space="preserve"> всем пациентам рекомендуется: </w:t>
      </w:r>
      <w:proofErr w:type="spellStart"/>
      <w:r>
        <w:t>изониазид</w:t>
      </w:r>
      <w:proofErr w:type="spellEnd"/>
      <w:r>
        <w:t xml:space="preserve">** и </w:t>
      </w:r>
      <w:proofErr w:type="spellStart"/>
      <w:r>
        <w:t>рифампицин</w:t>
      </w:r>
      <w:proofErr w:type="spellEnd"/>
      <w:r>
        <w:t xml:space="preserve">** или </w:t>
      </w:r>
      <w:proofErr w:type="spellStart"/>
      <w:r>
        <w:t>изониазид</w:t>
      </w:r>
      <w:proofErr w:type="spellEnd"/>
      <w:r>
        <w:t xml:space="preserve">**, </w:t>
      </w:r>
      <w:proofErr w:type="spellStart"/>
      <w:r>
        <w:t>рифампицин</w:t>
      </w:r>
      <w:proofErr w:type="spellEnd"/>
      <w:r>
        <w:t xml:space="preserve">** и </w:t>
      </w:r>
      <w:proofErr w:type="spellStart"/>
      <w:r>
        <w:t>пиразинамид</w:t>
      </w:r>
      <w:proofErr w:type="spellEnd"/>
      <w:r>
        <w:t>**[9].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Уровень убедительности рекомендаций С </w:t>
      </w:r>
      <w:r>
        <w:t>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Комментарии: </w:t>
      </w:r>
      <w:proofErr w:type="spellStart"/>
      <w:r>
        <w:rPr>
          <w:rStyle w:val="aff9"/>
        </w:rPr>
        <w:t>изониазид</w:t>
      </w:r>
      <w:proofErr w:type="spellEnd"/>
      <w:r>
        <w:rPr>
          <w:rStyle w:val="aff9"/>
        </w:rPr>
        <w:t xml:space="preserve">** и </w:t>
      </w:r>
      <w:proofErr w:type="spellStart"/>
      <w:r>
        <w:rPr>
          <w:rStyle w:val="aff9"/>
        </w:rPr>
        <w:t>рифампицин</w:t>
      </w:r>
      <w:proofErr w:type="spellEnd"/>
      <w:r>
        <w:rPr>
          <w:rStyle w:val="aff9"/>
        </w:rPr>
        <w:t>** — с ограниченными формами туберкулёза, при положительной офтальмоскопической динамике, полученной во время проведения фазы интенсивной терапии.</w:t>
      </w:r>
    </w:p>
    <w:p w:rsidR="009F17BC" w:rsidRDefault="00753BA6">
      <w:pPr>
        <w:pStyle w:val="afa"/>
        <w:divId w:val="728572706"/>
      </w:pPr>
      <w:proofErr w:type="spellStart"/>
      <w:r>
        <w:rPr>
          <w:rStyle w:val="aff9"/>
        </w:rPr>
        <w:t>Изониазид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рифампицин</w:t>
      </w:r>
      <w:proofErr w:type="spellEnd"/>
      <w:r>
        <w:rPr>
          <w:rStyle w:val="aff9"/>
        </w:rPr>
        <w:t xml:space="preserve">** и </w:t>
      </w:r>
      <w:proofErr w:type="spellStart"/>
      <w:r>
        <w:rPr>
          <w:rStyle w:val="aff9"/>
        </w:rPr>
        <w:t>пиразинамид</w:t>
      </w:r>
      <w:proofErr w:type="spellEnd"/>
      <w:r>
        <w:rPr>
          <w:rStyle w:val="aff9"/>
        </w:rPr>
        <w:t>** – при замедленной положительной динамике в фазу проведения интенсивной терапии и больным, ранее получавшим противотуберкулезные лекарственные препараты.</w:t>
      </w:r>
    </w:p>
    <w:p w:rsidR="009F17BC" w:rsidRDefault="00753BA6">
      <w:pPr>
        <w:pStyle w:val="afa"/>
        <w:divId w:val="728572706"/>
      </w:pPr>
      <w:r>
        <w:rPr>
          <w:rStyle w:val="aff9"/>
        </w:rPr>
        <w:t>Длительность фазы продолжения терапии составляет:</w:t>
      </w:r>
    </w:p>
    <w:p w:rsidR="009F17BC" w:rsidRDefault="00753BA6">
      <w:pPr>
        <w:pStyle w:val="afa"/>
        <w:divId w:val="728572706"/>
      </w:pPr>
      <w:r>
        <w:rPr>
          <w:rStyle w:val="aff9"/>
        </w:rPr>
        <w:t>120 суточных доз противотуберкулезных лекарственных препаратов (не менее 4 месяцев) у впервые выявленных больных туберкулёзом;</w:t>
      </w:r>
    </w:p>
    <w:p w:rsidR="009F17BC" w:rsidRDefault="00753BA6">
      <w:pPr>
        <w:pStyle w:val="afa"/>
        <w:divId w:val="728572706"/>
      </w:pPr>
      <w:r>
        <w:rPr>
          <w:rStyle w:val="aff9"/>
        </w:rPr>
        <w:lastRenderedPageBreak/>
        <w:t xml:space="preserve">150 суточных доз противотуберкулезных лекарственных препаратов (не менее 5 месяцев) у больных из групп: после прерывания курса химиотерапии, рецидива туберкулёзного </w:t>
      </w:r>
      <w:proofErr w:type="spellStart"/>
      <w:r>
        <w:rPr>
          <w:rStyle w:val="aff9"/>
        </w:rPr>
        <w:t>увеита</w:t>
      </w:r>
      <w:proofErr w:type="spellEnd"/>
      <w:r>
        <w:rPr>
          <w:rStyle w:val="aff9"/>
        </w:rPr>
        <w:t xml:space="preserve"> и прочие случаи повторного лечения;</w:t>
      </w:r>
    </w:p>
    <w:p w:rsidR="009F17BC" w:rsidRDefault="00753BA6">
      <w:pPr>
        <w:pStyle w:val="afa"/>
        <w:divId w:val="728572706"/>
      </w:pPr>
      <w:r>
        <w:rPr>
          <w:rStyle w:val="aff9"/>
        </w:rPr>
        <w:t xml:space="preserve">При установлении лекарственной устойчивости возбудителя, вне зависимости от длительности лечения по I режиму химиотерапии, режим химиотерапии корректируют в соответствии с результатом определения лекарственной чувствительности возбудителя у больного туберкулезом: при установленной лекарственной устойчивости возбудителя к </w:t>
      </w:r>
      <w:proofErr w:type="spellStart"/>
      <w:r>
        <w:rPr>
          <w:rStyle w:val="aff9"/>
        </w:rPr>
        <w:t>рифампицину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изониазиду</w:t>
      </w:r>
      <w:proofErr w:type="spellEnd"/>
      <w:r>
        <w:rPr>
          <w:rStyle w:val="aff9"/>
        </w:rPr>
        <w:t xml:space="preserve"> или только к </w:t>
      </w:r>
      <w:proofErr w:type="spellStart"/>
      <w:r>
        <w:rPr>
          <w:rStyle w:val="aff9"/>
        </w:rPr>
        <w:t>рифампицину</w:t>
      </w:r>
      <w:proofErr w:type="spellEnd"/>
      <w:r>
        <w:rPr>
          <w:rStyle w:val="aff9"/>
        </w:rPr>
        <w:t xml:space="preserve">, но сохранении лекарственной чувствительности к </w:t>
      </w:r>
      <w:proofErr w:type="spellStart"/>
      <w:r>
        <w:rPr>
          <w:rStyle w:val="aff9"/>
        </w:rPr>
        <w:t>офлоксацину</w:t>
      </w:r>
      <w:proofErr w:type="spellEnd"/>
      <w:r>
        <w:rPr>
          <w:rStyle w:val="aff9"/>
        </w:rPr>
        <w:t xml:space="preserve"> назначают курс лечения по IV индивидуализированному режиму химиотерапии.</w:t>
      </w:r>
    </w:p>
    <w:p w:rsidR="009F17BC" w:rsidRDefault="00753BA6">
      <w:pPr>
        <w:pStyle w:val="afa"/>
        <w:divId w:val="728572706"/>
      </w:pPr>
      <w:r>
        <w:rPr>
          <w:rStyle w:val="aff8"/>
        </w:rPr>
        <w:t>Четвертый (IV) стандартный режим</w:t>
      </w:r>
    </w:p>
    <w:p w:rsidR="009F17BC" w:rsidRDefault="00753BA6" w:rsidP="00753BA6">
      <w:pPr>
        <w:numPr>
          <w:ilvl w:val="0"/>
          <w:numId w:val="30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Style w:val="aff8"/>
          <w:rFonts w:eastAsia="Times New Roman"/>
        </w:rPr>
        <w:t xml:space="preserve">В фазе интенсивной терапии </w:t>
      </w:r>
      <w:r>
        <w:rPr>
          <w:rFonts w:eastAsia="Times New Roman"/>
        </w:rPr>
        <w:t xml:space="preserve">всем пациентам рекомендуется шесть препаратов: </w:t>
      </w:r>
      <w:proofErr w:type="spellStart"/>
      <w:r>
        <w:rPr>
          <w:rFonts w:eastAsia="Times New Roman"/>
        </w:rPr>
        <w:t>капреомицин</w:t>
      </w:r>
      <w:proofErr w:type="spellEnd"/>
      <w:r>
        <w:rPr>
          <w:rFonts w:eastAsia="Times New Roman"/>
        </w:rPr>
        <w:t xml:space="preserve">**, </w:t>
      </w:r>
      <w:proofErr w:type="spellStart"/>
      <w:r>
        <w:rPr>
          <w:rFonts w:eastAsia="Times New Roman"/>
        </w:rPr>
        <w:t>левофлоксацин</w:t>
      </w:r>
      <w:proofErr w:type="spellEnd"/>
      <w:r>
        <w:rPr>
          <w:rFonts w:eastAsia="Times New Roman"/>
        </w:rPr>
        <w:t xml:space="preserve">** и </w:t>
      </w:r>
      <w:proofErr w:type="spellStart"/>
      <w:r>
        <w:rPr>
          <w:rFonts w:eastAsia="Times New Roman"/>
        </w:rPr>
        <w:t>моксифлоксацин</w:t>
      </w:r>
      <w:proofErr w:type="spellEnd"/>
      <w:r>
        <w:rPr>
          <w:rFonts w:eastAsia="Times New Roman"/>
        </w:rPr>
        <w:t xml:space="preserve">** или </w:t>
      </w:r>
      <w:proofErr w:type="spellStart"/>
      <w:r>
        <w:rPr>
          <w:rFonts w:eastAsia="Times New Roman"/>
        </w:rPr>
        <w:t>спарфлоксацин</w:t>
      </w:r>
      <w:proofErr w:type="spellEnd"/>
      <w:r>
        <w:rPr>
          <w:rFonts w:eastAsia="Times New Roman"/>
        </w:rPr>
        <w:t xml:space="preserve">**, </w:t>
      </w:r>
      <w:proofErr w:type="spellStart"/>
      <w:r>
        <w:rPr>
          <w:rFonts w:eastAsia="Times New Roman"/>
        </w:rPr>
        <w:t>пиразинамид</w:t>
      </w:r>
      <w:proofErr w:type="spellEnd"/>
      <w:r>
        <w:rPr>
          <w:rFonts w:eastAsia="Times New Roman"/>
        </w:rPr>
        <w:t xml:space="preserve">**, </w:t>
      </w:r>
      <w:proofErr w:type="spellStart"/>
      <w:r>
        <w:rPr>
          <w:rFonts w:eastAsia="Times New Roman"/>
        </w:rPr>
        <w:t>циклосерин</w:t>
      </w:r>
      <w:proofErr w:type="spellEnd"/>
      <w:r>
        <w:rPr>
          <w:rFonts w:eastAsia="Times New Roman"/>
        </w:rPr>
        <w:t xml:space="preserve">** или </w:t>
      </w:r>
      <w:proofErr w:type="spellStart"/>
      <w:r>
        <w:rPr>
          <w:rFonts w:eastAsia="Times New Roman"/>
        </w:rPr>
        <w:t>теризидон</w:t>
      </w:r>
      <w:proofErr w:type="spellEnd"/>
      <w:r>
        <w:rPr>
          <w:rFonts w:eastAsia="Times New Roman"/>
        </w:rPr>
        <w:t xml:space="preserve">**, </w:t>
      </w:r>
      <w:proofErr w:type="spellStart"/>
      <w:r>
        <w:rPr>
          <w:rFonts w:eastAsia="Times New Roman"/>
        </w:rPr>
        <w:t>протионамид</w:t>
      </w:r>
      <w:proofErr w:type="spellEnd"/>
      <w:r>
        <w:rPr>
          <w:rFonts w:eastAsia="Times New Roman"/>
        </w:rPr>
        <w:t xml:space="preserve">** или </w:t>
      </w:r>
      <w:proofErr w:type="spellStart"/>
      <w:r>
        <w:rPr>
          <w:rFonts w:eastAsia="Times New Roman"/>
        </w:rPr>
        <w:t>этионамид</w:t>
      </w:r>
      <w:proofErr w:type="spellEnd"/>
      <w:r>
        <w:rPr>
          <w:rFonts w:eastAsia="Times New Roman"/>
        </w:rPr>
        <w:t xml:space="preserve">**, </w:t>
      </w:r>
      <w:proofErr w:type="spellStart"/>
      <w:r>
        <w:rPr>
          <w:rFonts w:eastAsia="Times New Roman"/>
        </w:rPr>
        <w:t>аминосалициловую</w:t>
      </w:r>
      <w:proofErr w:type="spellEnd"/>
      <w:r>
        <w:rPr>
          <w:rFonts w:eastAsia="Times New Roman"/>
        </w:rPr>
        <w:t xml:space="preserve"> кислоту** в течение 8 месяцев [9].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t xml:space="preserve">При известной лекарственной устойчивости возбудителя туберкулеза в субъекте Российской Федерации ниже 10% к </w:t>
      </w:r>
      <w:proofErr w:type="spellStart"/>
      <w:r>
        <w:t>канамицину</w:t>
      </w:r>
      <w:proofErr w:type="spellEnd"/>
      <w:r>
        <w:t xml:space="preserve"> в фазе интенсивной терапии вместо </w:t>
      </w:r>
      <w:proofErr w:type="spellStart"/>
      <w:r>
        <w:t>капреомицина</w:t>
      </w:r>
      <w:proofErr w:type="spellEnd"/>
      <w:r>
        <w:t xml:space="preserve"> больным назначается </w:t>
      </w:r>
      <w:proofErr w:type="spellStart"/>
      <w:r>
        <w:t>канамицин</w:t>
      </w:r>
      <w:proofErr w:type="spellEnd"/>
      <w:r>
        <w:t xml:space="preserve">** или </w:t>
      </w:r>
      <w:proofErr w:type="spellStart"/>
      <w:r>
        <w:t>амикацин</w:t>
      </w:r>
      <w:proofErr w:type="spellEnd"/>
      <w:r>
        <w:t>**[9].</w:t>
      </w:r>
    </w:p>
    <w:p w:rsidR="009F17BC" w:rsidRDefault="00753BA6">
      <w:pPr>
        <w:pStyle w:val="afa"/>
        <w:divId w:val="728572706"/>
      </w:pPr>
      <w:r>
        <w:rPr>
          <w:rStyle w:val="aff8"/>
        </w:rPr>
        <w:t>Уровень убедительности рекомендаций С</w:t>
      </w:r>
      <w:r>
        <w:t xml:space="preserve"> 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Четвертый (IV) стандартный режим химиотерапии назначается больным туберкулезом с установленной лекарственной устойчивостью возбудителя только к </w:t>
      </w:r>
      <w:proofErr w:type="spellStart"/>
      <w:r>
        <w:rPr>
          <w:rStyle w:val="aff9"/>
        </w:rPr>
        <w:t>рифампицину</w:t>
      </w:r>
      <w:proofErr w:type="spellEnd"/>
      <w:r>
        <w:rPr>
          <w:rStyle w:val="aff9"/>
        </w:rPr>
        <w:t xml:space="preserve"> или к </w:t>
      </w:r>
      <w:proofErr w:type="spellStart"/>
      <w:r>
        <w:rPr>
          <w:rStyle w:val="aff9"/>
        </w:rPr>
        <w:t>изониазиду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рифампицину</w:t>
      </w:r>
      <w:proofErr w:type="spellEnd"/>
      <w:r>
        <w:rPr>
          <w:rStyle w:val="aff9"/>
        </w:rPr>
        <w:t xml:space="preserve"> при неизвестной лекарственной чувствительности к другим противотуберкулезным лекарственным препаратам, а также больным с риском множественной лекарственной устойчивости возбудителя.</w:t>
      </w:r>
    </w:p>
    <w:p w:rsidR="009F17BC" w:rsidRDefault="00753BA6">
      <w:pPr>
        <w:pStyle w:val="afa"/>
        <w:divId w:val="728572706"/>
      </w:pPr>
      <w:r>
        <w:rPr>
          <w:rStyle w:val="aff9"/>
        </w:rPr>
        <w:t xml:space="preserve">Длительность фазы интенсивной фазы терапии при ограниченных процессах без </w:t>
      </w:r>
      <w:proofErr w:type="spellStart"/>
      <w:r>
        <w:rPr>
          <w:rStyle w:val="aff9"/>
        </w:rPr>
        <w:t>бактериовыделения</w:t>
      </w:r>
      <w:proofErr w:type="spellEnd"/>
      <w:r>
        <w:rPr>
          <w:rStyle w:val="aff9"/>
        </w:rPr>
        <w:t xml:space="preserve"> составляет не менее 90 доз противотуберкулезных лекарственных препаратов (не менее 3 месяцев).</w:t>
      </w:r>
    </w:p>
    <w:p w:rsidR="009F17BC" w:rsidRDefault="00753BA6" w:rsidP="00753BA6">
      <w:pPr>
        <w:numPr>
          <w:ilvl w:val="0"/>
          <w:numId w:val="31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Style w:val="aff8"/>
          <w:rFonts w:eastAsia="Times New Roman"/>
        </w:rPr>
        <w:t xml:space="preserve">В фазе продолжения терапии </w:t>
      </w:r>
      <w:r>
        <w:rPr>
          <w:rFonts w:eastAsia="Times New Roman"/>
        </w:rPr>
        <w:t xml:space="preserve">всем пациентам рекомендуется четыре препарата с обязательным назначением </w:t>
      </w:r>
      <w:proofErr w:type="spellStart"/>
      <w:r>
        <w:rPr>
          <w:rFonts w:eastAsia="Times New Roman"/>
        </w:rPr>
        <w:t>левофлоксацина</w:t>
      </w:r>
      <w:proofErr w:type="spellEnd"/>
      <w:r>
        <w:rPr>
          <w:rFonts w:eastAsia="Times New Roman"/>
        </w:rPr>
        <w:t xml:space="preserve">** или </w:t>
      </w:r>
      <w:proofErr w:type="spellStart"/>
      <w:r>
        <w:rPr>
          <w:rFonts w:eastAsia="Times New Roman"/>
        </w:rPr>
        <w:t>моксифлоксацина</w:t>
      </w:r>
      <w:proofErr w:type="spellEnd"/>
      <w:r>
        <w:rPr>
          <w:rFonts w:eastAsia="Times New Roman"/>
        </w:rPr>
        <w:t xml:space="preserve">** или </w:t>
      </w:r>
      <w:proofErr w:type="spellStart"/>
      <w:r>
        <w:rPr>
          <w:rFonts w:eastAsia="Times New Roman"/>
        </w:rPr>
        <w:t>спарфлоксацина</w:t>
      </w:r>
      <w:proofErr w:type="spellEnd"/>
      <w:r>
        <w:rPr>
          <w:rFonts w:eastAsia="Times New Roman"/>
        </w:rPr>
        <w:t xml:space="preserve">**, </w:t>
      </w:r>
      <w:proofErr w:type="spellStart"/>
      <w:r>
        <w:rPr>
          <w:rFonts w:eastAsia="Times New Roman"/>
        </w:rPr>
        <w:t>пиразинамида</w:t>
      </w:r>
      <w:proofErr w:type="spellEnd"/>
      <w:r>
        <w:rPr>
          <w:rFonts w:eastAsia="Times New Roman"/>
        </w:rPr>
        <w:t>** и двух других препаратов второго ряда [9].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Комментарии: </w:t>
      </w:r>
      <w:r>
        <w:rPr>
          <w:rStyle w:val="aff9"/>
        </w:rPr>
        <w:t>Длительность фазы продолжения терапии составляет не менее 310 суточных доз (не менее 12-15 месяцев).</w:t>
      </w:r>
    </w:p>
    <w:p w:rsidR="009F17BC" w:rsidRDefault="00753BA6">
      <w:pPr>
        <w:pStyle w:val="afa"/>
        <w:divId w:val="728572706"/>
      </w:pPr>
      <w:r>
        <w:rPr>
          <w:rStyle w:val="aff8"/>
        </w:rPr>
        <w:t>Четвертый (IV) индивидуализированный режим химиотерапии</w:t>
      </w:r>
    </w:p>
    <w:p w:rsidR="009F17BC" w:rsidRDefault="00753BA6" w:rsidP="00753BA6">
      <w:pPr>
        <w:numPr>
          <w:ilvl w:val="0"/>
          <w:numId w:val="32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lastRenderedPageBreak/>
        <w:t>В фазе интенсивной терапии всем пациентам рекомендуется не менее пяти препаратов с сохраненной лекарственной чувствительностью возбудителя [9].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t>-</w:t>
      </w:r>
      <w:proofErr w:type="spellStart"/>
      <w:r>
        <w:t>аминогликозид</w:t>
      </w:r>
      <w:proofErr w:type="spellEnd"/>
      <w:r>
        <w:t xml:space="preserve"> (</w:t>
      </w:r>
      <w:proofErr w:type="spellStart"/>
      <w:r>
        <w:t>амикацин</w:t>
      </w:r>
      <w:proofErr w:type="spellEnd"/>
      <w:r>
        <w:t xml:space="preserve">**, </w:t>
      </w:r>
      <w:proofErr w:type="spellStart"/>
      <w:r>
        <w:t>канамицин</w:t>
      </w:r>
      <w:proofErr w:type="spellEnd"/>
      <w:r>
        <w:t>**) или полипептид(</w:t>
      </w:r>
      <w:proofErr w:type="spellStart"/>
      <w:r>
        <w:t>капреомицин</w:t>
      </w:r>
      <w:proofErr w:type="spellEnd"/>
      <w:r>
        <w:t>**);</w:t>
      </w:r>
    </w:p>
    <w:p w:rsidR="009F17BC" w:rsidRDefault="00753BA6">
      <w:pPr>
        <w:pStyle w:val="afa"/>
        <w:divId w:val="728572706"/>
      </w:pPr>
      <w:r>
        <w:t>-</w:t>
      </w:r>
      <w:proofErr w:type="spellStart"/>
      <w:r>
        <w:t>левофлоксацин</w:t>
      </w:r>
      <w:proofErr w:type="spellEnd"/>
      <w:r>
        <w:t xml:space="preserve">** или </w:t>
      </w:r>
      <w:proofErr w:type="spellStart"/>
      <w:r>
        <w:t>спарфлоксацин</w:t>
      </w:r>
      <w:proofErr w:type="spellEnd"/>
      <w:r>
        <w:t xml:space="preserve">** или </w:t>
      </w:r>
      <w:proofErr w:type="spellStart"/>
      <w:r>
        <w:t>моксифлоксацин</w:t>
      </w:r>
      <w:proofErr w:type="spellEnd"/>
      <w:r>
        <w:t xml:space="preserve">**или </w:t>
      </w:r>
      <w:proofErr w:type="spellStart"/>
      <w:r>
        <w:t>пиразинамид</w:t>
      </w:r>
      <w:proofErr w:type="spellEnd"/>
      <w:r>
        <w:t>**;</w:t>
      </w:r>
    </w:p>
    <w:p w:rsidR="009F17BC" w:rsidRDefault="00753BA6">
      <w:pPr>
        <w:pStyle w:val="afa"/>
        <w:divId w:val="728572706"/>
      </w:pPr>
      <w:r>
        <w:t>-</w:t>
      </w:r>
      <w:proofErr w:type="spellStart"/>
      <w:r>
        <w:t>циклосерин</w:t>
      </w:r>
      <w:proofErr w:type="spellEnd"/>
      <w:r>
        <w:t xml:space="preserve">** или </w:t>
      </w:r>
      <w:proofErr w:type="spellStart"/>
      <w:r>
        <w:t>теризидон</w:t>
      </w:r>
      <w:proofErr w:type="spellEnd"/>
      <w:r>
        <w:t>** назначается при подтвержденной или предполагаемой чувствительности возбудителя;</w:t>
      </w:r>
    </w:p>
    <w:p w:rsidR="009F17BC" w:rsidRDefault="00753BA6">
      <w:pPr>
        <w:pStyle w:val="afa"/>
        <w:divId w:val="728572706"/>
      </w:pPr>
      <w:r>
        <w:t>-</w:t>
      </w:r>
      <w:proofErr w:type="spellStart"/>
      <w:r>
        <w:t>протионамид</w:t>
      </w:r>
      <w:proofErr w:type="spellEnd"/>
      <w:r>
        <w:t>** (</w:t>
      </w:r>
      <w:proofErr w:type="spellStart"/>
      <w:r>
        <w:t>этионамид</w:t>
      </w:r>
      <w:proofErr w:type="spellEnd"/>
      <w:r>
        <w:t>) назначается при подтвержденной или предполагаемой чувствительности возбудителя;</w:t>
      </w:r>
    </w:p>
    <w:p w:rsidR="009F17BC" w:rsidRDefault="00753BA6">
      <w:pPr>
        <w:pStyle w:val="afa"/>
        <w:divId w:val="728572706"/>
      </w:pPr>
      <w:r>
        <w:t>-</w:t>
      </w:r>
      <w:proofErr w:type="spellStart"/>
      <w:r>
        <w:t>аминосалициловая</w:t>
      </w:r>
      <w:proofErr w:type="spellEnd"/>
      <w:r>
        <w:t xml:space="preserve"> кислота** назначается, если не сформирован режим из пяти вышеуказанных препаратов.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Уровень убедительности рекомендаций С </w:t>
      </w:r>
      <w:r>
        <w:t>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Четвертый (IV) индивидуализированный режим химиотерапии назначают больным туберкулезом с установленной лекарственной устойчивостью возбудителя к </w:t>
      </w:r>
      <w:proofErr w:type="spellStart"/>
      <w:r>
        <w:rPr>
          <w:rStyle w:val="aff9"/>
        </w:rPr>
        <w:t>изониазиду</w:t>
      </w:r>
      <w:proofErr w:type="spellEnd"/>
      <w:r>
        <w:rPr>
          <w:rStyle w:val="aff9"/>
        </w:rPr>
        <w:t xml:space="preserve">** и </w:t>
      </w:r>
      <w:proofErr w:type="spellStart"/>
      <w:r>
        <w:rPr>
          <w:rStyle w:val="aff9"/>
        </w:rPr>
        <w:t>рифампицину</w:t>
      </w:r>
      <w:proofErr w:type="spellEnd"/>
      <w:r>
        <w:rPr>
          <w:rStyle w:val="aff9"/>
        </w:rPr>
        <w:t xml:space="preserve">** и чувствительностью к </w:t>
      </w:r>
      <w:proofErr w:type="spellStart"/>
      <w:r>
        <w:rPr>
          <w:rStyle w:val="aff9"/>
        </w:rPr>
        <w:t>офлоксацину</w:t>
      </w:r>
      <w:proofErr w:type="spellEnd"/>
      <w:r>
        <w:rPr>
          <w:rStyle w:val="aff9"/>
        </w:rPr>
        <w:t>**. В фазе интенсивной терапии назначают комбинацию антибактериальных и противотуберкулезных лекарственных препаратов в зависимости от результата определения лекарственной чувствительности возбудителя у больного туберкулезом.</w:t>
      </w:r>
    </w:p>
    <w:p w:rsidR="009F17BC" w:rsidRDefault="00753BA6">
      <w:pPr>
        <w:pStyle w:val="afa"/>
        <w:divId w:val="728572706"/>
      </w:pPr>
      <w:r>
        <w:rPr>
          <w:rStyle w:val="aff9"/>
        </w:rPr>
        <w:t xml:space="preserve">Длительность фазы интенсивной терапии составляет не менее 240 суточных доз антибактериальных и противотуберкулезных лекарственных препаратов (не менее 8 месяцев). </w:t>
      </w:r>
    </w:p>
    <w:p w:rsidR="009F17BC" w:rsidRDefault="00753BA6" w:rsidP="00753BA6">
      <w:pPr>
        <w:numPr>
          <w:ilvl w:val="0"/>
          <w:numId w:val="33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t xml:space="preserve">В фазе продолжения терапии всем пациентам рекомендуется не менее четырех препаратов с обязательным включением в режим </w:t>
      </w:r>
      <w:proofErr w:type="spellStart"/>
      <w:r>
        <w:rPr>
          <w:rFonts w:eastAsia="Times New Roman"/>
        </w:rPr>
        <w:t>левофлоксацина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моксифлоксацина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спарфлоксацина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пиразинамида</w:t>
      </w:r>
      <w:proofErr w:type="spellEnd"/>
      <w:r>
        <w:rPr>
          <w:rFonts w:eastAsia="Times New Roman"/>
        </w:rPr>
        <w:t xml:space="preserve"> и других препаратов [9].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>Уровень убедительности рекомендаций С</w:t>
      </w:r>
      <w:r>
        <w:t xml:space="preserve"> (уровень</w:t>
      </w:r>
      <w:r w:rsidR="00C21E3D">
        <w:t xml:space="preserve"> достоверности доказательств – 4</w:t>
      </w:r>
      <w:r>
        <w:t>)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Комментарии: </w:t>
      </w:r>
      <w:r>
        <w:rPr>
          <w:rStyle w:val="aff9"/>
        </w:rPr>
        <w:t>Длительность фазы продолжения терапии составляет не менее 310 суточных доз антибактериальных и противотуберкулезных лекарственных препаратов (не менее 12 месяцев).</w:t>
      </w:r>
    </w:p>
    <w:p w:rsidR="009F17BC" w:rsidRDefault="00753BA6">
      <w:pPr>
        <w:pStyle w:val="afa"/>
        <w:divId w:val="728572706"/>
      </w:pPr>
      <w:r>
        <w:rPr>
          <w:rStyle w:val="aff9"/>
        </w:rPr>
        <w:t xml:space="preserve">Суточные дозы противотуберкулезных препаратов: </w:t>
      </w:r>
      <w:proofErr w:type="spellStart"/>
      <w:r>
        <w:rPr>
          <w:rStyle w:val="aff9"/>
        </w:rPr>
        <w:t>изониазид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рифампицин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пиразинамид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канамицин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амикацин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капреомицин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левофлоксацин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моксифлоксацин</w:t>
      </w:r>
      <w:proofErr w:type="spellEnd"/>
      <w:r>
        <w:rPr>
          <w:rStyle w:val="aff9"/>
        </w:rPr>
        <w:t xml:space="preserve">** - назначаются в один прием, что создает высокий пик концентрации препаратов в сыворотке крови. </w:t>
      </w:r>
    </w:p>
    <w:p w:rsidR="009F17BC" w:rsidRDefault="00753BA6">
      <w:pPr>
        <w:pStyle w:val="afa"/>
        <w:divId w:val="728572706"/>
        <w:rPr>
          <w:rStyle w:val="aff9"/>
        </w:rPr>
      </w:pPr>
      <w:r>
        <w:rPr>
          <w:rStyle w:val="aff9"/>
        </w:rPr>
        <w:t xml:space="preserve">Суточные дозы препаратов: </w:t>
      </w:r>
      <w:proofErr w:type="spellStart"/>
      <w:r>
        <w:rPr>
          <w:rStyle w:val="aff9"/>
        </w:rPr>
        <w:t>протионамид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этионами</w:t>
      </w:r>
      <w:proofErr w:type="spellEnd"/>
      <w:r>
        <w:rPr>
          <w:rStyle w:val="aff9"/>
        </w:rPr>
        <w:t>** - могут делиться на два-три приема в зависимости от индивидуальной переносимости препаратов. На амбулаторном лечении предпочтительным является однократный приём всей суточной дозы.</w:t>
      </w:r>
    </w:p>
    <w:p w:rsidR="009F17BC" w:rsidRPr="00774A3F" w:rsidRDefault="00753BA6" w:rsidP="00774A3F">
      <w:pPr>
        <w:tabs>
          <w:tab w:val="left" w:pos="851"/>
        </w:tabs>
        <w:ind w:firstLine="709"/>
        <w:divId w:val="728572706"/>
        <w:rPr>
          <w:rFonts w:eastAsia="Times New Roman"/>
          <w:b/>
          <w:u w:val="single"/>
        </w:rPr>
      </w:pPr>
      <w:bookmarkStart w:id="15" w:name="_Toc469476254"/>
      <w:bookmarkEnd w:id="15"/>
      <w:r w:rsidRPr="00774A3F">
        <w:rPr>
          <w:rFonts w:eastAsia="Times New Roman"/>
          <w:b/>
          <w:u w:val="single"/>
        </w:rPr>
        <w:lastRenderedPageBreak/>
        <w:t>3.2 Хирургическое лечение</w:t>
      </w:r>
    </w:p>
    <w:p w:rsidR="009F17BC" w:rsidRDefault="00753BA6" w:rsidP="00753BA6">
      <w:pPr>
        <w:numPr>
          <w:ilvl w:val="0"/>
          <w:numId w:val="34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proofErr w:type="spellStart"/>
      <w:r>
        <w:rPr>
          <w:rFonts w:eastAsia="Times New Roman"/>
        </w:rPr>
        <w:t>Витрэктомия</w:t>
      </w:r>
      <w:proofErr w:type="spellEnd"/>
      <w:r>
        <w:rPr>
          <w:rFonts w:eastAsia="Times New Roman"/>
        </w:rPr>
        <w:t xml:space="preserve"> рекомендуется всем пациентам в неактивную фазу туберкулезного </w:t>
      </w:r>
      <w:proofErr w:type="spellStart"/>
      <w:r>
        <w:rPr>
          <w:rFonts w:eastAsia="Times New Roman"/>
        </w:rPr>
        <w:t>увеита</w:t>
      </w:r>
      <w:proofErr w:type="spellEnd"/>
      <w:r>
        <w:rPr>
          <w:rFonts w:eastAsia="Times New Roman"/>
        </w:rPr>
        <w:t xml:space="preserve"> с фиброзными изменениями стекловидного тела и низкой остротой зрения, обусловленной фиброзом стекловидного тела [2, 3, 4].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 w:rsidP="00753BA6">
      <w:pPr>
        <w:numPr>
          <w:ilvl w:val="0"/>
          <w:numId w:val="35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t xml:space="preserve">Экстракция </w:t>
      </w:r>
      <w:proofErr w:type="spellStart"/>
      <w:r>
        <w:rPr>
          <w:rFonts w:eastAsia="Times New Roman"/>
        </w:rPr>
        <w:t>увеальной</w:t>
      </w:r>
      <w:proofErr w:type="spellEnd"/>
      <w:r>
        <w:rPr>
          <w:rFonts w:eastAsia="Times New Roman"/>
        </w:rPr>
        <w:t xml:space="preserve"> катаракты рекомендуется всем больным с осложненной катарактой, снижение зрения у которых обусловлено помутнением хрусталика [2, 3, 4].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>Уровень убедительности рекомендаций С</w:t>
      </w:r>
      <w:r>
        <w:t xml:space="preserve"> (уровень достоверности доказательств – 4)</w:t>
      </w:r>
    </w:p>
    <w:p w:rsidR="009F17BC" w:rsidRDefault="00753BA6" w:rsidP="00753BA6">
      <w:pPr>
        <w:numPr>
          <w:ilvl w:val="0"/>
          <w:numId w:val="36"/>
        </w:numPr>
        <w:spacing w:before="100" w:beforeAutospacing="1" w:after="100" w:afterAutospacing="1" w:line="240" w:lineRule="auto"/>
        <w:divId w:val="728572706"/>
        <w:rPr>
          <w:rFonts w:eastAsia="Times New Roman"/>
        </w:rPr>
      </w:pPr>
      <w:r>
        <w:rPr>
          <w:rFonts w:eastAsia="Times New Roman"/>
        </w:rPr>
        <w:t xml:space="preserve">Лазерная </w:t>
      </w:r>
      <w:proofErr w:type="spellStart"/>
      <w:r>
        <w:rPr>
          <w:rFonts w:eastAsia="Times New Roman"/>
        </w:rPr>
        <w:t>иридотомия</w:t>
      </w:r>
      <w:proofErr w:type="spellEnd"/>
      <w:r>
        <w:rPr>
          <w:rFonts w:eastAsia="Times New Roman"/>
        </w:rPr>
        <w:t xml:space="preserve"> рекомендуется в любую фазу туберкулезного </w:t>
      </w:r>
      <w:proofErr w:type="spellStart"/>
      <w:r>
        <w:rPr>
          <w:rFonts w:eastAsia="Times New Roman"/>
        </w:rPr>
        <w:t>увеита</w:t>
      </w:r>
      <w:proofErr w:type="spellEnd"/>
      <w:r>
        <w:rPr>
          <w:rFonts w:eastAsia="Times New Roman"/>
        </w:rPr>
        <w:t xml:space="preserve"> пациентам, у которых повышение внутриглазного давления обусловлено окклюзией зрачка и </w:t>
      </w:r>
      <w:proofErr w:type="spellStart"/>
      <w:r>
        <w:rPr>
          <w:rFonts w:eastAsia="Times New Roman"/>
        </w:rPr>
        <w:t>иридохрусталиковым</w:t>
      </w:r>
      <w:proofErr w:type="spellEnd"/>
      <w:r>
        <w:rPr>
          <w:rFonts w:eastAsia="Times New Roman"/>
        </w:rPr>
        <w:t xml:space="preserve"> блоком с [1, 2, 3, 4].</w:t>
      </w:r>
    </w:p>
    <w:p w:rsidR="009F17BC" w:rsidRDefault="00753BA6">
      <w:pPr>
        <w:pStyle w:val="afa"/>
        <w:divId w:val="728572706"/>
        <w:rPr>
          <w:rFonts w:eastAsiaTheme="minorEastAsia"/>
        </w:rPr>
      </w:pPr>
      <w:r>
        <w:rPr>
          <w:rStyle w:val="aff8"/>
        </w:rPr>
        <w:t>Уровень убедительности рекомендаций С</w:t>
      </w:r>
      <w:r>
        <w:t xml:space="preserve"> (уровень достоверности доказательств – 4)</w:t>
      </w:r>
    </w:p>
    <w:p w:rsidR="009F17BC" w:rsidRDefault="00753BA6">
      <w:pPr>
        <w:pStyle w:val="afa"/>
        <w:divId w:val="728572706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Лазерная </w:t>
      </w:r>
      <w:proofErr w:type="spellStart"/>
      <w:r>
        <w:rPr>
          <w:rStyle w:val="aff9"/>
        </w:rPr>
        <w:t>иридотомия</w:t>
      </w:r>
      <w:proofErr w:type="spellEnd"/>
      <w:r>
        <w:rPr>
          <w:rStyle w:val="aff9"/>
        </w:rPr>
        <w:t xml:space="preserve"> показана при вторичной глаукоме с бомбажем радужки.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bookmarkStart w:id="16" w:name="_Toc481656228"/>
      <w:r w:rsidRPr="00774A3F">
        <w:rPr>
          <w:sz w:val="28"/>
          <w:szCs w:val="28"/>
          <w:u w:val="none"/>
        </w:rPr>
        <w:t>4. Реабилитация</w:t>
      </w:r>
      <w:bookmarkEnd w:id="16"/>
    </w:p>
    <w:p w:rsidR="009F17BC" w:rsidRDefault="00753BA6">
      <w:pPr>
        <w:pStyle w:val="afa"/>
        <w:divId w:val="561718208"/>
      </w:pPr>
      <w:r>
        <w:t xml:space="preserve">Реабилитация больных туберкулёзными </w:t>
      </w:r>
      <w:proofErr w:type="spellStart"/>
      <w:r>
        <w:t>увеитами</w:t>
      </w:r>
      <w:proofErr w:type="spellEnd"/>
      <w:r>
        <w:t xml:space="preserve"> проходит в условиях противотуберкулёзного диспансера или санатория, где пациенты наблюдаются врачом </w:t>
      </w:r>
      <w:proofErr w:type="spellStart"/>
      <w:r>
        <w:t>фтизиоофтальмологом</w:t>
      </w:r>
      <w:proofErr w:type="spellEnd"/>
      <w:r>
        <w:t>, регламентируется приказом МЗ РФ № 109 от 21 марта 2003г. (ред. от 29.10.2009) «О совершенствовании противотуберкулёзных мероприятий в Российской Федерации» [6].</w:t>
      </w:r>
    </w:p>
    <w:p w:rsidR="009F17BC" w:rsidRDefault="00753BA6">
      <w:pPr>
        <w:pStyle w:val="afa"/>
        <w:divId w:val="561718208"/>
      </w:pPr>
      <w:r>
        <w:rPr>
          <w:rStyle w:val="aff8"/>
        </w:rPr>
        <w:t xml:space="preserve">В неактивную фазу туберкулёзного </w:t>
      </w:r>
      <w:proofErr w:type="spellStart"/>
      <w:r>
        <w:rPr>
          <w:rStyle w:val="aff8"/>
        </w:rPr>
        <w:t>увеита</w:t>
      </w:r>
      <w:proofErr w:type="spellEnd"/>
      <w:r>
        <w:rPr>
          <w:rStyle w:val="aff8"/>
        </w:rPr>
        <w:t xml:space="preserve"> </w:t>
      </w:r>
    </w:p>
    <w:p w:rsidR="009F17BC" w:rsidRDefault="00753BA6" w:rsidP="00753BA6">
      <w:pPr>
        <w:pStyle w:val="afa"/>
        <w:numPr>
          <w:ilvl w:val="0"/>
          <w:numId w:val="37"/>
        </w:numPr>
        <w:spacing w:before="100" w:after="100" w:line="240" w:lineRule="auto"/>
        <w:divId w:val="561718208"/>
      </w:pPr>
      <w:proofErr w:type="spellStart"/>
      <w:r>
        <w:t>Метилэтилпиридинол</w:t>
      </w:r>
      <w:proofErr w:type="spellEnd"/>
      <w:r>
        <w:t>** рекомендуется пациентам с выраженными дистрофическими изменениями сетчатки [3, 4].</w:t>
      </w:r>
    </w:p>
    <w:p w:rsidR="009F17BC" w:rsidRDefault="00753BA6">
      <w:pPr>
        <w:pStyle w:val="afa"/>
        <w:divId w:val="561718208"/>
      </w:pPr>
      <w:r>
        <w:rPr>
          <w:rStyle w:val="aff8"/>
        </w:rPr>
        <w:t>Уровень убедительности рекомендаций С</w:t>
      </w:r>
      <w:r>
        <w:t xml:space="preserve"> (уровень достоверности доказательств – 4)</w:t>
      </w:r>
    </w:p>
    <w:p w:rsidR="009F17BC" w:rsidRDefault="00753BA6" w:rsidP="00753BA6">
      <w:pPr>
        <w:pStyle w:val="afa"/>
        <w:numPr>
          <w:ilvl w:val="0"/>
          <w:numId w:val="38"/>
        </w:numPr>
        <w:spacing w:before="100" w:after="100" w:line="240" w:lineRule="auto"/>
        <w:divId w:val="561718208"/>
      </w:pPr>
      <w:proofErr w:type="spellStart"/>
      <w:r>
        <w:t>Пентагидроксиэтилнафтохинон</w:t>
      </w:r>
      <w:proofErr w:type="spellEnd"/>
      <w:r>
        <w:t>** рекомендуется пациентам с выраженными дистрофическими изменениями сетчатки [3, 4].</w:t>
      </w:r>
    </w:p>
    <w:p w:rsidR="009F17BC" w:rsidRDefault="00753BA6">
      <w:pPr>
        <w:pStyle w:val="afa"/>
        <w:divId w:val="561718208"/>
      </w:pPr>
      <w:r>
        <w:rPr>
          <w:rStyle w:val="aff8"/>
        </w:rPr>
        <w:t>Уровень убедительности рекомендаций С</w:t>
      </w:r>
      <w:r>
        <w:t xml:space="preserve"> (уровень достоверности доказательств – 4)</w:t>
      </w:r>
    </w:p>
    <w:p w:rsidR="009F17BC" w:rsidRDefault="00753BA6">
      <w:pPr>
        <w:pStyle w:val="afa"/>
        <w:divId w:val="561718208"/>
      </w:pPr>
      <w:r>
        <w:rPr>
          <w:rStyle w:val="aff8"/>
        </w:rPr>
        <w:t xml:space="preserve">Комментарии: </w:t>
      </w:r>
      <w:proofErr w:type="spellStart"/>
      <w:r>
        <w:rPr>
          <w:rStyle w:val="aff9"/>
        </w:rPr>
        <w:t>Метилэтилпиридинол</w:t>
      </w:r>
      <w:proofErr w:type="spellEnd"/>
      <w:r>
        <w:rPr>
          <w:rStyle w:val="aff9"/>
        </w:rPr>
        <w:t xml:space="preserve">** 1% - 0,5 мл </w:t>
      </w:r>
      <w:proofErr w:type="spellStart"/>
      <w:r>
        <w:rPr>
          <w:rStyle w:val="aff9"/>
        </w:rPr>
        <w:t>периокулярно</w:t>
      </w:r>
      <w:proofErr w:type="spellEnd"/>
      <w:r>
        <w:rPr>
          <w:rStyle w:val="aff9"/>
        </w:rPr>
        <w:t xml:space="preserve"> № 10 – 15 инъекций ежедневно. </w:t>
      </w:r>
    </w:p>
    <w:p w:rsidR="009F17BC" w:rsidRDefault="00753BA6">
      <w:pPr>
        <w:pStyle w:val="afa"/>
        <w:divId w:val="561718208"/>
        <w:rPr>
          <w:rStyle w:val="aff9"/>
        </w:rPr>
      </w:pPr>
      <w:proofErr w:type="spellStart"/>
      <w:r>
        <w:rPr>
          <w:rStyle w:val="aff9"/>
        </w:rPr>
        <w:t>Пентагидроксиэтилнафтохинон</w:t>
      </w:r>
      <w:proofErr w:type="spellEnd"/>
      <w:r>
        <w:rPr>
          <w:rStyle w:val="aff9"/>
        </w:rPr>
        <w:t xml:space="preserve">**# 0,5 мл </w:t>
      </w:r>
      <w:proofErr w:type="spellStart"/>
      <w:r>
        <w:rPr>
          <w:rStyle w:val="aff9"/>
        </w:rPr>
        <w:t>парабульбарно</w:t>
      </w:r>
      <w:proofErr w:type="spellEnd"/>
      <w:r>
        <w:rPr>
          <w:rStyle w:val="aff9"/>
        </w:rPr>
        <w:t xml:space="preserve"> 10 инъекций ежедневно. 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bookmarkStart w:id="17" w:name="_Toc481656229"/>
      <w:r w:rsidRPr="00774A3F">
        <w:rPr>
          <w:sz w:val="28"/>
          <w:szCs w:val="28"/>
          <w:u w:val="none"/>
        </w:rPr>
        <w:lastRenderedPageBreak/>
        <w:t>5. Профилактика</w:t>
      </w:r>
      <w:bookmarkEnd w:id="17"/>
    </w:p>
    <w:p w:rsidR="009F17BC" w:rsidRDefault="00753BA6">
      <w:pPr>
        <w:pStyle w:val="afa"/>
        <w:divId w:val="18627359"/>
      </w:pPr>
      <w:r>
        <w:rPr>
          <w:rStyle w:val="aff9"/>
        </w:rPr>
        <w:t>Профилактика и диспансерное наблюдение больных с туберкулезом глаз осуществляется в противотуберкулезном диспансере и регламентируется приказом МЗ РФ № 109 от 21 марта 2003г. (ред. от 29.10.2009) «О совершенствовании противотуберкулёзных мероприятий в Российской Федерации» [6].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bookmarkStart w:id="18" w:name="_Toc481656230"/>
      <w:r w:rsidRPr="00774A3F">
        <w:rPr>
          <w:sz w:val="28"/>
          <w:szCs w:val="28"/>
          <w:u w:val="none"/>
        </w:rPr>
        <w:t>6. Дополнительная информация, влияющая на течение и исход заболевания</w:t>
      </w:r>
      <w:bookmarkEnd w:id="18"/>
    </w:p>
    <w:p w:rsidR="00AD4D72" w:rsidRPr="00774A3F" w:rsidRDefault="00753BA6" w:rsidP="00774A3F">
      <w:pPr>
        <w:pStyle w:val="10"/>
        <w:jc w:val="center"/>
        <w:rPr>
          <w:u w:val="none"/>
        </w:rPr>
      </w:pPr>
      <w:bookmarkStart w:id="19" w:name="_Toc481656231"/>
      <w:r w:rsidRPr="00774A3F">
        <w:rPr>
          <w:sz w:val="28"/>
          <w:szCs w:val="28"/>
          <w:u w:val="none"/>
        </w:rPr>
        <w:t>Критерии оценки качества медицинской помощи</w:t>
      </w:r>
      <w:bookmarkEnd w:id="19"/>
    </w:p>
    <w:p w:rsidR="009F17BC" w:rsidRDefault="00753BA6">
      <w:pPr>
        <w:pStyle w:val="afa"/>
        <w:divId w:val="1161039454"/>
      </w:pPr>
      <w:r>
        <w:rPr>
          <w:rStyle w:val="aff8"/>
        </w:rPr>
        <w:t>Название группы:</w:t>
      </w:r>
      <w:r>
        <w:t xml:space="preserve"> туберкулезные </w:t>
      </w:r>
      <w:proofErr w:type="spellStart"/>
      <w:r>
        <w:t>увеиты</w:t>
      </w:r>
      <w:proofErr w:type="spellEnd"/>
    </w:p>
    <w:p w:rsidR="009F17BC" w:rsidRDefault="00753BA6">
      <w:pPr>
        <w:pStyle w:val="afa"/>
        <w:divId w:val="1161039454"/>
      </w:pPr>
      <w:r>
        <w:rPr>
          <w:rStyle w:val="aff8"/>
        </w:rPr>
        <w:t xml:space="preserve">Код по МКБ: </w:t>
      </w:r>
      <w:r>
        <w:t>A18.5/H 32.0/H 22.0</w:t>
      </w:r>
    </w:p>
    <w:p w:rsidR="009F17BC" w:rsidRDefault="00753BA6">
      <w:pPr>
        <w:pStyle w:val="afa"/>
        <w:divId w:val="1161039454"/>
      </w:pPr>
      <w:r>
        <w:rPr>
          <w:rStyle w:val="aff8"/>
        </w:rPr>
        <w:t>Вид медицинской помощи:</w:t>
      </w:r>
      <w:r>
        <w:t xml:space="preserve"> специализированная медицинская помощь, в том числе высокотехнологичная медицинская помощь</w:t>
      </w:r>
    </w:p>
    <w:p w:rsidR="009F17BC" w:rsidRDefault="00753BA6">
      <w:pPr>
        <w:pStyle w:val="afa"/>
        <w:divId w:val="1161039454"/>
      </w:pPr>
      <w:r>
        <w:rPr>
          <w:rStyle w:val="aff8"/>
        </w:rPr>
        <w:t>Формы оказания медицинской помощи:</w:t>
      </w:r>
      <w:r>
        <w:t xml:space="preserve"> плановая, неотложная</w:t>
      </w:r>
    </w:p>
    <w:p w:rsidR="009F17BC" w:rsidRDefault="00753BA6">
      <w:pPr>
        <w:pStyle w:val="afa"/>
        <w:divId w:val="1161039454"/>
      </w:pPr>
      <w:r>
        <w:rPr>
          <w:rStyle w:val="aff8"/>
        </w:rPr>
        <w:t>Условия оказания медицинской помощи:</w:t>
      </w:r>
      <w:r>
        <w:t xml:space="preserve"> амбулаторно, в дневном стационаре, стационарно.</w:t>
      </w:r>
    </w:p>
    <w:p w:rsidR="009F17BC" w:rsidRDefault="00753BA6">
      <w:pPr>
        <w:pStyle w:val="afa"/>
        <w:divId w:val="1161039454"/>
      </w:pPr>
      <w:r>
        <w:rPr>
          <w:rStyle w:val="aff8"/>
        </w:rPr>
        <w:t>Категория возрастная:</w:t>
      </w:r>
      <w:r>
        <w:t> взрослые</w:t>
      </w:r>
      <w:r>
        <w:br/>
      </w:r>
      <w:r>
        <w:rPr>
          <w:rStyle w:val="aff8"/>
        </w:rPr>
        <w:t>Пол: </w:t>
      </w:r>
      <w:r>
        <w:t>любой</w:t>
      </w:r>
      <w:r>
        <w:br/>
      </w:r>
      <w:r>
        <w:rPr>
          <w:rStyle w:val="aff8"/>
        </w:rPr>
        <w:t>Фаза:</w:t>
      </w:r>
      <w:r>
        <w:t> активная, стихания, рецидив</w:t>
      </w:r>
      <w:r>
        <w:br/>
      </w:r>
      <w:r>
        <w:rPr>
          <w:rStyle w:val="aff8"/>
        </w:rPr>
        <w:t>Стадия:</w:t>
      </w:r>
      <w:r>
        <w:t> любая</w:t>
      </w:r>
    </w:p>
    <w:p w:rsidR="009F17BC" w:rsidRDefault="00753BA6">
      <w:pPr>
        <w:pStyle w:val="afa"/>
        <w:divId w:val="1161039454"/>
      </w:pPr>
      <w:bookmarkStart w:id="20" w:name="_Toc465942434"/>
      <w:bookmarkStart w:id="21" w:name="_Toc465949578"/>
      <w:bookmarkEnd w:id="20"/>
      <w:bookmarkEnd w:id="21"/>
      <w:r>
        <w:rPr>
          <w:rStyle w:val="aff8"/>
        </w:rPr>
        <w:t>Таблица 5. Критерии оценки качества медицинской помощи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5260"/>
        <w:gridCol w:w="1816"/>
        <w:gridCol w:w="1912"/>
      </w:tblGrid>
      <w:tr w:rsidR="009F17BC">
        <w:trPr>
          <w:divId w:val="1161039454"/>
          <w:trHeight w:val="915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8"/>
              </w:rPr>
              <w:t>№</w:t>
            </w:r>
          </w:p>
          <w:p w:rsidR="009F17BC" w:rsidRDefault="00753BA6">
            <w:pPr>
              <w:pStyle w:val="afa"/>
              <w:jc w:val="center"/>
            </w:pPr>
            <w:r>
              <w:rPr>
                <w:rStyle w:val="aff8"/>
              </w:rPr>
              <w:t> 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8"/>
              </w:rPr>
              <w:t>Критерии качества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8"/>
              </w:rPr>
              <w:t>Уровень достоверности доказательств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8"/>
              </w:rPr>
              <w:t>Уровень убедительности рекомендаций</w:t>
            </w:r>
          </w:p>
        </w:tc>
      </w:tr>
      <w:tr w:rsidR="009F17BC">
        <w:trPr>
          <w:divId w:val="1161039454"/>
          <w:trHeight w:val="525"/>
        </w:trPr>
        <w:tc>
          <w:tcPr>
            <w:tcW w:w="4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Этап постановки диагноза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 сбор анамнеза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2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</w:t>
            </w:r>
            <w:proofErr w:type="spellStart"/>
            <w:r>
              <w:t>визометрия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62EA9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3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Выполнена периметрия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62EA9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4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Выполнена тонометрия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62EA9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5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</w:t>
            </w:r>
            <w:proofErr w:type="spellStart"/>
            <w:r>
              <w:t>биомикроскопия</w:t>
            </w:r>
            <w:proofErr w:type="spellEnd"/>
            <w:r>
              <w:t xml:space="preserve"> переднего отдела </w:t>
            </w:r>
            <w:r>
              <w:lastRenderedPageBreak/>
              <w:t>глаза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lastRenderedPageBreak/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6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офтальмоскопия обратная или </w:t>
            </w:r>
            <w:proofErr w:type="spellStart"/>
            <w:r>
              <w:t>биомикроскопия</w:t>
            </w:r>
            <w:proofErr w:type="spellEnd"/>
            <w:r>
              <w:t xml:space="preserve"> глазного дна при максимальном медикаментозном </w:t>
            </w:r>
            <w:proofErr w:type="spellStart"/>
            <w:r>
              <w:t>мидриазе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7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офтальмоскопия глазного дна прямая при максимальном медикаментозном </w:t>
            </w:r>
            <w:proofErr w:type="spellStart"/>
            <w:r>
              <w:t>мидриазе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8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Выполнено ультразвуковое исследование оболочек, сред глаза и окружающих тканей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9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Выполнены стандартные лабораторные гематологические и биохимические исследования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10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Выполнена флюорография органов грудной полости или обзорная рентгенограмма легких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11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проба Манту или </w:t>
            </w:r>
            <w:proofErr w:type="spellStart"/>
            <w:r>
              <w:t>диаскин</w:t>
            </w:r>
            <w:proofErr w:type="spellEnd"/>
            <w:r>
              <w:t>-тест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12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Выполнена рентгенография в 2-х проекциях органов грудной полости (по показаниям)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13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Выполнена проба Коха (при отрицательной пробе Манту)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14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Проведена консультация фтизиатра для исключения других внелегочных форм туберкулеза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4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Этап химиотерапии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Выполнено местное введение препаратов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2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Выполнено системное введение противотуберкулезных препаратов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4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t>Этап контроля эффективности лечения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</w:t>
            </w:r>
            <w:proofErr w:type="spellStart"/>
            <w:r>
              <w:t>визометрия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2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Выполнена периметрия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3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Выполнена тонометрия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4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</w:t>
            </w:r>
            <w:proofErr w:type="spellStart"/>
            <w:r>
              <w:t>биомикроскопия</w:t>
            </w:r>
            <w:proofErr w:type="spellEnd"/>
            <w:r>
              <w:t xml:space="preserve"> переднего отдела глаза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5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офтальмоскопия глазного дна прямая при максимальном медикаментозном </w:t>
            </w:r>
            <w:proofErr w:type="spellStart"/>
            <w:r>
              <w:t>мидриазе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6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Выполнена офтальмоскопия обратная или </w:t>
            </w:r>
            <w:proofErr w:type="spellStart"/>
            <w:r>
              <w:t>биомикроскопия</w:t>
            </w:r>
            <w:proofErr w:type="spellEnd"/>
            <w:r>
              <w:t xml:space="preserve"> глазного дна при максимальном </w:t>
            </w:r>
            <w:r>
              <w:lastRenderedPageBreak/>
              <w:t xml:space="preserve">медикаментозном </w:t>
            </w:r>
            <w:proofErr w:type="spellStart"/>
            <w:r>
              <w:t>мидриазе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lastRenderedPageBreak/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7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Выполнено ультразвуковое исследование оболочек, сред глаза и окружающих тканей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8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Проведена консультация фтизиатра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9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Достигнута ремиссия </w:t>
            </w:r>
            <w:proofErr w:type="spellStart"/>
            <w:r>
              <w:t>увеита</w:t>
            </w:r>
            <w:proofErr w:type="spellEnd"/>
            <w:r>
              <w:t xml:space="preserve"> на момент выписки из стационара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  <w:tr w:rsidR="009F17BC">
        <w:trPr>
          <w:divId w:val="1161039454"/>
          <w:trHeight w:val="5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10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Достигнута стабилизация или повышение зрительных функций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D35B12">
            <w:pPr>
              <w:pStyle w:val="afa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9779A4">
            <w:pPr>
              <w:pStyle w:val="afa"/>
            </w:pPr>
            <w:r>
              <w:t>С</w:t>
            </w:r>
          </w:p>
        </w:tc>
      </w:tr>
    </w:tbl>
    <w:p w:rsidR="009F17BC" w:rsidRDefault="009F17BC">
      <w:pPr>
        <w:divId w:val="1161039454"/>
        <w:rPr>
          <w:rFonts w:eastAsia="Times New Roman"/>
        </w:rPr>
      </w:pPr>
    </w:p>
    <w:p w:rsidR="00AD4D72" w:rsidRPr="00774A3F" w:rsidRDefault="00753BA6" w:rsidP="00774A3F">
      <w:pPr>
        <w:pStyle w:val="10"/>
        <w:jc w:val="center"/>
        <w:rPr>
          <w:u w:val="none"/>
        </w:rPr>
      </w:pPr>
      <w:r>
        <w:br w:type="page"/>
      </w:r>
      <w:bookmarkStart w:id="22" w:name="_Toc481656232"/>
      <w:r w:rsidRPr="00774A3F">
        <w:rPr>
          <w:sz w:val="28"/>
          <w:szCs w:val="28"/>
          <w:u w:val="none"/>
        </w:rPr>
        <w:lastRenderedPageBreak/>
        <w:t>Список литературы</w:t>
      </w:r>
      <w:bookmarkEnd w:id="22"/>
    </w:p>
    <w:p w:rsidR="009F17BC" w:rsidRPr="00AA7208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  <w:rPr>
          <w:lang w:val="en-US"/>
        </w:rPr>
      </w:pPr>
      <w:proofErr w:type="spellStart"/>
      <w:r w:rsidRPr="00AA7208">
        <w:rPr>
          <w:lang w:val="en-US"/>
        </w:rPr>
        <w:t>Nussenblatt</w:t>
      </w:r>
      <w:proofErr w:type="spellEnd"/>
      <w:r w:rsidRPr="00AA7208">
        <w:rPr>
          <w:lang w:val="en-US"/>
        </w:rPr>
        <w:t xml:space="preserve"> R.B., </w:t>
      </w:r>
      <w:proofErr w:type="spellStart"/>
      <w:r w:rsidRPr="00AA7208">
        <w:rPr>
          <w:lang w:val="en-US"/>
        </w:rPr>
        <w:t>Whitcup</w:t>
      </w:r>
      <w:proofErr w:type="spellEnd"/>
      <w:r w:rsidRPr="00AA7208">
        <w:rPr>
          <w:lang w:val="en-US"/>
        </w:rPr>
        <w:t xml:space="preserve"> S.M. Uveitis fundamental and clinical practice // Mosby, 2010. – 433 p.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proofErr w:type="spellStart"/>
      <w:r>
        <w:t>Кацнельсон</w:t>
      </w:r>
      <w:proofErr w:type="spellEnd"/>
      <w:r>
        <w:t xml:space="preserve"> Л.А, </w:t>
      </w:r>
      <w:proofErr w:type="spellStart"/>
      <w:r>
        <w:t>Танковский</w:t>
      </w:r>
      <w:proofErr w:type="spellEnd"/>
      <w:r>
        <w:t xml:space="preserve"> В.Э. </w:t>
      </w:r>
      <w:proofErr w:type="spellStart"/>
      <w:r>
        <w:t>Увеиты</w:t>
      </w:r>
      <w:proofErr w:type="spellEnd"/>
      <w:r>
        <w:t xml:space="preserve"> (клиника, лечение) // М., 4-й филиал Воениздата, 2003 263 с.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r>
        <w:t>Устинова Е.И Туберкулез глаз и сходные с ним заболевания / Руководство для врачей // СПб. 2011. – 420 с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r w:rsidRPr="00762EA9">
        <w:t>Ченцова</w:t>
      </w:r>
      <w:r>
        <w:t xml:space="preserve"> О.Б. Туберкулёз глаз // М., «</w:t>
      </w:r>
      <w:r w:rsidRPr="00762EA9">
        <w:t>Медицина</w:t>
      </w:r>
      <w:r>
        <w:t>», 1990 - 256 с.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r>
        <w:t xml:space="preserve">Международная </w:t>
      </w:r>
      <w:r w:rsidRPr="00762EA9">
        <w:t>классификация</w:t>
      </w:r>
      <w:r>
        <w:t xml:space="preserve"> болезней, травм и состояний, влияющих на здоровье, 10-го пересмотра (МКБ-10) // Всемирная организация здравоохранения, 1994.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r>
        <w:t>Приказ МЗ РФ № 109 от 21 марта 2003г. (ред. от 29.10.2009) «О совершенствовании противотуберкулёзных мероприятий в Российской Федерации»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r>
        <w:t>Приказ МЗ РФ № 932 н от 15 ноября 2012 г. «Об утверждении Порядка оказания медицинской помощи больным туберкулезом»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r>
        <w:t>Приказ МЗ РФ от 12.11.2012 N 902н "Об утверждении Порядка оказания медицинской помощи взрослому населению при заболеваниях глаза, его придаточного аппарата и орбиты"</w:t>
      </w:r>
    </w:p>
    <w:p w:rsidR="009F17BC" w:rsidRDefault="00753BA6" w:rsidP="00753BA6">
      <w:pPr>
        <w:pStyle w:val="afa"/>
        <w:numPr>
          <w:ilvl w:val="0"/>
          <w:numId w:val="39"/>
        </w:numPr>
        <w:spacing w:before="100" w:after="100" w:line="240" w:lineRule="auto"/>
        <w:divId w:val="782500200"/>
      </w:pPr>
      <w:r>
        <w:t>Методические рекомендации по совершенствованию диагностики и лечения туберкулеза органов дыхания, утвержденные приказом МЗ РФ от 29.12.2014 № 951.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r>
        <w:br w:type="page"/>
      </w:r>
      <w:bookmarkStart w:id="23" w:name="_Toc481656233"/>
      <w:r w:rsidRPr="00774A3F">
        <w:rPr>
          <w:sz w:val="28"/>
          <w:szCs w:val="28"/>
          <w:u w:val="none"/>
        </w:rPr>
        <w:lastRenderedPageBreak/>
        <w:t>Приложение А1. Состав рабочей группы</w:t>
      </w:r>
      <w:bookmarkEnd w:id="23"/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  <w:szCs w:val="24"/>
        </w:rPr>
      </w:pPr>
      <w:r>
        <w:rPr>
          <w:rFonts w:eastAsia="Times New Roman"/>
        </w:rPr>
        <w:t>Ходжаев Н.С., д.м.н., профессор, руководитель группы, ООО «Ассоциация врачей-офтальмологов»;</w:t>
      </w:r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</w:rPr>
      </w:pPr>
      <w:proofErr w:type="spellStart"/>
      <w:r>
        <w:rPr>
          <w:rFonts w:eastAsia="Times New Roman"/>
        </w:rPr>
        <w:t>Танковский</w:t>
      </w:r>
      <w:proofErr w:type="spellEnd"/>
      <w:r>
        <w:rPr>
          <w:rFonts w:eastAsia="Times New Roman"/>
        </w:rPr>
        <w:t xml:space="preserve"> В.Э., д.м.н., ООО «Ассоциация врачей-офтальмологов»;</w:t>
      </w:r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</w:rPr>
      </w:pPr>
      <w:proofErr w:type="spellStart"/>
      <w:r w:rsidRPr="00766F0A">
        <w:rPr>
          <w:rStyle w:val="aff8"/>
          <w:rFonts w:eastAsia="Times New Roman"/>
          <w:b w:val="0"/>
        </w:rPr>
        <w:t>Слепова</w:t>
      </w:r>
      <w:proofErr w:type="spellEnd"/>
      <w:r w:rsidRPr="00766F0A">
        <w:rPr>
          <w:rStyle w:val="aff8"/>
          <w:rFonts w:eastAsia="Times New Roman"/>
          <w:b w:val="0"/>
        </w:rPr>
        <w:t xml:space="preserve"> О.С.</w:t>
      </w:r>
      <w:proofErr w:type="gramStart"/>
      <w:r w:rsidRPr="00766F0A">
        <w:rPr>
          <w:rStyle w:val="aff8"/>
          <w:rFonts w:eastAsia="Times New Roman"/>
          <w:b w:val="0"/>
        </w:rPr>
        <w:t>,</w:t>
      </w:r>
      <w:r>
        <w:rPr>
          <w:rFonts w:eastAsia="Times New Roman"/>
        </w:rPr>
        <w:t xml:space="preserve">  д.б.н.</w:t>
      </w:r>
      <w:proofErr w:type="gramEnd"/>
      <w:r>
        <w:rPr>
          <w:rFonts w:eastAsia="Times New Roman"/>
        </w:rPr>
        <w:t>, профессор, ООО «Ассоциация врачей-офтальмологов»;</w:t>
      </w:r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</w:rPr>
      </w:pPr>
      <w:proofErr w:type="spellStart"/>
      <w:r>
        <w:rPr>
          <w:rFonts w:eastAsia="Times New Roman"/>
        </w:rPr>
        <w:t>Эргешов</w:t>
      </w:r>
      <w:proofErr w:type="spellEnd"/>
      <w:r>
        <w:rPr>
          <w:rFonts w:eastAsia="Times New Roman"/>
        </w:rPr>
        <w:t xml:space="preserve"> А.Э., д.м.н., профессор, Российское Общество Фтизиатров;</w:t>
      </w:r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</w:rPr>
      </w:pPr>
      <w:r>
        <w:rPr>
          <w:rFonts w:eastAsia="Times New Roman"/>
        </w:rPr>
        <w:t>Комиссарова О.Г., д.м.н., Российское Общество Фтизиатров;</w:t>
      </w:r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</w:rPr>
      </w:pPr>
      <w:r>
        <w:rPr>
          <w:rFonts w:eastAsia="Times New Roman"/>
        </w:rPr>
        <w:t>Александрова Т.Е., д.м.н., ООО «Ассоциация врачей-офтальмологов»;</w:t>
      </w:r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</w:rPr>
      </w:pPr>
      <w:proofErr w:type="spellStart"/>
      <w:r>
        <w:rPr>
          <w:rFonts w:eastAsia="Times New Roman"/>
        </w:rPr>
        <w:t>Харлампиди</w:t>
      </w:r>
      <w:proofErr w:type="spellEnd"/>
      <w:r>
        <w:rPr>
          <w:rFonts w:eastAsia="Times New Roman"/>
        </w:rPr>
        <w:t xml:space="preserve"> М.П., к.м.н., ООО «Ассоциация врачей-офтальмологов»;</w:t>
      </w:r>
    </w:p>
    <w:p w:rsidR="009F17BC" w:rsidRDefault="00753BA6" w:rsidP="00753BA6">
      <w:pPr>
        <w:numPr>
          <w:ilvl w:val="0"/>
          <w:numId w:val="40"/>
        </w:numPr>
        <w:spacing w:before="100" w:beforeAutospacing="1" w:after="100" w:afterAutospacing="1" w:line="240" w:lineRule="auto"/>
        <w:divId w:val="1298340370"/>
        <w:rPr>
          <w:rFonts w:eastAsia="Times New Roman"/>
        </w:rPr>
      </w:pPr>
      <w:r>
        <w:rPr>
          <w:rFonts w:eastAsia="Times New Roman"/>
        </w:rPr>
        <w:t>Ерёмина М.В., к.м.н., ООО «Ассоциация врачей-офтальмологов».</w:t>
      </w:r>
    </w:p>
    <w:p w:rsidR="009F17BC" w:rsidRDefault="00753BA6">
      <w:pPr>
        <w:pStyle w:val="afa"/>
        <w:divId w:val="1298340370"/>
        <w:rPr>
          <w:rFonts w:eastAsiaTheme="minorEastAsia"/>
        </w:rPr>
      </w:pPr>
      <w:r>
        <w:t>Конфликт интересов отсутствует.</w:t>
      </w:r>
    </w:p>
    <w:p w:rsidR="00AD4D72" w:rsidRPr="00774A3F" w:rsidRDefault="00753BA6" w:rsidP="00774A3F">
      <w:pPr>
        <w:pStyle w:val="10"/>
        <w:jc w:val="center"/>
        <w:rPr>
          <w:u w:val="none"/>
        </w:rPr>
      </w:pPr>
      <w:r>
        <w:br w:type="page"/>
      </w:r>
      <w:bookmarkStart w:id="24" w:name="_Toc481656234"/>
      <w:r w:rsidRPr="00774A3F">
        <w:rPr>
          <w:sz w:val="28"/>
          <w:szCs w:val="28"/>
          <w:u w:val="none"/>
        </w:rPr>
        <w:lastRenderedPageBreak/>
        <w:t>Приложение А2. Методология разработки клинических рекомендаций</w:t>
      </w:r>
      <w:bookmarkEnd w:id="24"/>
    </w:p>
    <w:p w:rsidR="009F17BC" w:rsidRDefault="00753BA6">
      <w:pPr>
        <w:pStyle w:val="afa"/>
        <w:divId w:val="755631761"/>
        <w:rPr>
          <w:rFonts w:eastAsiaTheme="minorEastAsia"/>
        </w:rPr>
      </w:pPr>
      <w:bookmarkStart w:id="25" w:name="_Toc469476260"/>
      <w:bookmarkStart w:id="26" w:name="_Toc465946834"/>
      <w:bookmarkStart w:id="27" w:name="_Toc465942441"/>
      <w:bookmarkStart w:id="28" w:name="_Toc464225183"/>
      <w:bookmarkEnd w:id="25"/>
      <w:bookmarkEnd w:id="26"/>
      <w:bookmarkEnd w:id="27"/>
      <w:bookmarkEnd w:id="28"/>
      <w:r>
        <w:t>Методы, использованные для сбора/селекции доказательств: поиск в электронных базах данных, библиотечные ресурсы.</w:t>
      </w:r>
    </w:p>
    <w:p w:rsidR="009F17BC" w:rsidRDefault="00753BA6">
      <w:pPr>
        <w:pStyle w:val="afa"/>
        <w:divId w:val="755631761"/>
      </w:pPr>
      <w:r>
        <w:t xml:space="preserve">Описание методов, использованных для сбора/селекции доказательств: доказательной базой для рекомендаций являются публикации, вошедшие в </w:t>
      </w:r>
      <w:proofErr w:type="spellStart"/>
      <w:r>
        <w:t>Кохрайновскую</w:t>
      </w:r>
      <w:proofErr w:type="spellEnd"/>
      <w:r>
        <w:t xml:space="preserve"> библиотеку, базы данных EMBASE и MEDLINE, а также монографии и статьи в ведущих специализированных рецензируемых отечественных медицинских журналах по данной тематике. Глубина поиска составляла 10 лет.</w:t>
      </w:r>
    </w:p>
    <w:p w:rsidR="009F17BC" w:rsidRDefault="00753BA6">
      <w:pPr>
        <w:pStyle w:val="afa"/>
        <w:divId w:val="755631761"/>
      </w:pPr>
      <w:r>
        <w:t>Методы, использованные для оценки качества и силы доказательств: консенсус экспертов, оценка значимости в соответствии с рейтинговой схемой.</w:t>
      </w:r>
    </w:p>
    <w:p w:rsidR="009F17BC" w:rsidRDefault="00753BA6">
      <w:pPr>
        <w:pStyle w:val="afa"/>
        <w:divId w:val="755631761"/>
      </w:pPr>
      <w:r>
        <w:rPr>
          <w:rStyle w:val="aff8"/>
        </w:rPr>
        <w:t>Целевая аудитория данных клинических рекомендаций:</w:t>
      </w:r>
    </w:p>
    <w:p w:rsidR="009F17BC" w:rsidRDefault="00753BA6" w:rsidP="00753BA6">
      <w:pPr>
        <w:numPr>
          <w:ilvl w:val="0"/>
          <w:numId w:val="41"/>
        </w:numPr>
        <w:spacing w:before="100" w:beforeAutospacing="1" w:after="100" w:afterAutospacing="1" w:line="240" w:lineRule="auto"/>
        <w:divId w:val="755631761"/>
        <w:rPr>
          <w:rFonts w:eastAsia="Times New Roman"/>
        </w:rPr>
      </w:pPr>
      <w:r>
        <w:rPr>
          <w:rFonts w:eastAsia="Times New Roman"/>
        </w:rPr>
        <w:t xml:space="preserve">Врач – офтальмолог, </w:t>
      </w:r>
      <w:proofErr w:type="spellStart"/>
      <w:r>
        <w:rPr>
          <w:rFonts w:eastAsia="Times New Roman"/>
        </w:rPr>
        <w:t>фтизиоофтальмолог</w:t>
      </w:r>
      <w:proofErr w:type="spellEnd"/>
      <w:r>
        <w:rPr>
          <w:rFonts w:eastAsia="Times New Roman"/>
        </w:rPr>
        <w:t>, фтизиатр.</w:t>
      </w:r>
    </w:p>
    <w:p w:rsidR="009F17BC" w:rsidRDefault="00753BA6" w:rsidP="00753BA6">
      <w:pPr>
        <w:numPr>
          <w:ilvl w:val="0"/>
          <w:numId w:val="41"/>
        </w:numPr>
        <w:spacing w:before="100" w:beforeAutospacing="1" w:after="100" w:afterAutospacing="1" w:line="240" w:lineRule="auto"/>
        <w:divId w:val="755631761"/>
        <w:rPr>
          <w:rFonts w:eastAsia="Times New Roman"/>
        </w:rPr>
      </w:pPr>
      <w:r>
        <w:rPr>
          <w:rFonts w:eastAsia="Times New Roman"/>
        </w:rPr>
        <w:t>Студенты медицинских ВУЗов, ординаторы, аспиранты.</w:t>
      </w:r>
    </w:p>
    <w:p w:rsidR="009F17BC" w:rsidRDefault="00753BA6" w:rsidP="008E3BA4">
      <w:pPr>
        <w:pStyle w:val="afa"/>
        <w:spacing w:beforeAutospacing="0" w:afterAutospacing="0" w:line="240" w:lineRule="auto"/>
        <w:divId w:val="755631761"/>
        <w:rPr>
          <w:rFonts w:eastAsiaTheme="minorEastAsia"/>
        </w:rPr>
      </w:pPr>
      <w:r>
        <w:rPr>
          <w:rStyle w:val="aff8"/>
        </w:rPr>
        <w:t>Таблица 1 – Уровни достоверности доказательств.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7656"/>
      </w:tblGrid>
      <w:tr w:rsidR="009F17BC">
        <w:trPr>
          <w:divId w:val="7556317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8"/>
              </w:rPr>
              <w:t>Уровень достоверности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8"/>
              </w:rPr>
              <w:t>Тип данных</w:t>
            </w:r>
          </w:p>
        </w:tc>
      </w:tr>
      <w:tr w:rsidR="009F17BC">
        <w:trPr>
          <w:divId w:val="7556317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1а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Мета анализ </w:t>
            </w:r>
            <w:proofErr w:type="spellStart"/>
            <w:r>
              <w:t>рандомизированных</w:t>
            </w:r>
            <w:proofErr w:type="spellEnd"/>
            <w:r>
              <w:t xml:space="preserve"> контролируемых исследований (РКИ)</w:t>
            </w:r>
          </w:p>
        </w:tc>
      </w:tr>
      <w:tr w:rsidR="009F17BC">
        <w:trPr>
          <w:divId w:val="7556317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1b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Хотя бы одно РКИ</w:t>
            </w:r>
          </w:p>
        </w:tc>
      </w:tr>
      <w:tr w:rsidR="009F17BC">
        <w:trPr>
          <w:divId w:val="7556317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2а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Хотя бы одно хорошо выполненное контролируемое исследование без рандомизации</w:t>
            </w:r>
          </w:p>
        </w:tc>
      </w:tr>
      <w:tr w:rsidR="009F17BC">
        <w:trPr>
          <w:divId w:val="7556317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2b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Хотя бы одно хорошо выполненное </w:t>
            </w:r>
            <w:proofErr w:type="spellStart"/>
            <w:r>
              <w:t>квазиэкспериментальное</w:t>
            </w:r>
            <w:proofErr w:type="spellEnd"/>
            <w:r>
              <w:t xml:space="preserve"> исследование</w:t>
            </w:r>
          </w:p>
        </w:tc>
      </w:tr>
      <w:tr w:rsidR="009F17BC">
        <w:trPr>
          <w:divId w:val="7556317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3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Хорошо выполненные не экспериментальные исследования: сравнительные, корреляционные или «случай-контроль»</w:t>
            </w:r>
          </w:p>
        </w:tc>
      </w:tr>
      <w:tr w:rsidR="009F17BC">
        <w:trPr>
          <w:divId w:val="7556317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4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 xml:space="preserve">Экспертное </w:t>
            </w:r>
            <w:proofErr w:type="spellStart"/>
            <w:r>
              <w:t>консенсусное</w:t>
            </w:r>
            <w:proofErr w:type="spellEnd"/>
            <w:r>
              <w:t xml:space="preserve"> мнение либо клинический опыт признанного авторитета</w:t>
            </w:r>
          </w:p>
        </w:tc>
      </w:tr>
    </w:tbl>
    <w:p w:rsidR="008E3BA4" w:rsidRDefault="008E3BA4" w:rsidP="008E3BA4">
      <w:pPr>
        <w:pStyle w:val="afa"/>
        <w:spacing w:beforeAutospacing="0" w:afterAutospacing="0" w:line="240" w:lineRule="auto"/>
        <w:divId w:val="755631761"/>
        <w:rPr>
          <w:rStyle w:val="aff8"/>
        </w:rPr>
      </w:pPr>
    </w:p>
    <w:p w:rsidR="008E3BA4" w:rsidRDefault="008E3BA4" w:rsidP="008E3BA4">
      <w:pPr>
        <w:pStyle w:val="afa"/>
        <w:spacing w:beforeAutospacing="0" w:afterAutospacing="0" w:line="240" w:lineRule="auto"/>
        <w:divId w:val="755631761"/>
        <w:rPr>
          <w:rStyle w:val="aff8"/>
        </w:rPr>
      </w:pPr>
    </w:p>
    <w:p w:rsidR="009F17BC" w:rsidRDefault="00753BA6" w:rsidP="008E3BA4">
      <w:pPr>
        <w:pStyle w:val="afa"/>
        <w:spacing w:beforeAutospacing="0" w:afterAutospacing="0" w:line="240" w:lineRule="auto"/>
        <w:divId w:val="755631761"/>
        <w:rPr>
          <w:rFonts w:eastAsiaTheme="minorEastAsia"/>
        </w:rPr>
      </w:pPr>
      <w:r>
        <w:rPr>
          <w:rStyle w:val="aff8"/>
        </w:rPr>
        <w:t>Таблица 2 – Уровни убедительности рекомендаций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7323"/>
      </w:tblGrid>
      <w:tr w:rsidR="009F17BC">
        <w:trPr>
          <w:divId w:val="755631761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8"/>
              </w:rPr>
              <w:t>Уровень убедительности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8"/>
              </w:rPr>
              <w:t>Основание рекомендации</w:t>
            </w:r>
          </w:p>
        </w:tc>
      </w:tr>
      <w:tr w:rsidR="009F17BC">
        <w:trPr>
          <w:divId w:val="755631761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Основана на клинических исследованиях хорошего качества, по своей тематике непосредственно применимых к данной специфической рекомендации, включающих по меньшей мере одно РКИ</w:t>
            </w:r>
          </w:p>
        </w:tc>
      </w:tr>
      <w:tr w:rsidR="009F17BC">
        <w:trPr>
          <w:divId w:val="755631761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В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Основана на результатах клинических исследований хорошего дизайна, но без рандомизации</w:t>
            </w:r>
          </w:p>
        </w:tc>
      </w:tr>
      <w:tr w:rsidR="009F17BC">
        <w:trPr>
          <w:divId w:val="755631761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t>Составлена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:rsidR="009F17BC" w:rsidRDefault="00753BA6">
      <w:pPr>
        <w:pStyle w:val="afa"/>
        <w:divId w:val="755631761"/>
        <w:rPr>
          <w:rFonts w:eastAsiaTheme="minorEastAsia"/>
        </w:rPr>
      </w:pPr>
      <w:r>
        <w:rPr>
          <w:rStyle w:val="aff8"/>
        </w:rPr>
        <w:lastRenderedPageBreak/>
        <w:t>Порядок обновления клинических рекомендаций</w:t>
      </w:r>
    </w:p>
    <w:p w:rsidR="009F17BC" w:rsidRDefault="00753BA6">
      <w:pPr>
        <w:pStyle w:val="afa"/>
        <w:divId w:val="755631761"/>
      </w:pPr>
      <w:r>
        <w:t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:rsidR="009F17BC" w:rsidRDefault="00753BA6">
      <w:pPr>
        <w:pStyle w:val="afa"/>
        <w:divId w:val="755631761"/>
      </w:pPr>
      <w:r>
        <w:t># Знак обозначает, что показания не входят в инструкцию по применению лекарственного препарата.</w:t>
      </w:r>
    </w:p>
    <w:p w:rsidR="00AD4D72" w:rsidRPr="008E3BA4" w:rsidRDefault="00753BA6" w:rsidP="008E3BA4">
      <w:pPr>
        <w:pStyle w:val="10"/>
        <w:jc w:val="center"/>
        <w:rPr>
          <w:u w:val="none"/>
        </w:rPr>
      </w:pPr>
      <w:r>
        <w:br w:type="page"/>
      </w:r>
      <w:bookmarkStart w:id="29" w:name="_Toc481656235"/>
      <w:r w:rsidRPr="008E3BA4">
        <w:rPr>
          <w:sz w:val="28"/>
          <w:szCs w:val="28"/>
          <w:u w:val="none"/>
        </w:rPr>
        <w:lastRenderedPageBreak/>
        <w:t>Приложение А3. Связанные документы</w:t>
      </w:r>
      <w:bookmarkEnd w:id="29"/>
    </w:p>
    <w:p w:rsidR="009F17BC" w:rsidRDefault="00753BA6">
      <w:pPr>
        <w:pStyle w:val="afa"/>
        <w:divId w:val="2030140817"/>
      </w:pPr>
      <w:r>
        <w:t>Данные клинические рекомендации разработаны с учётом следующих нормативно-правовых документов:</w:t>
      </w:r>
    </w:p>
    <w:p w:rsidR="009F17BC" w:rsidRDefault="00753BA6" w:rsidP="00753BA6">
      <w:pPr>
        <w:pStyle w:val="afa"/>
        <w:numPr>
          <w:ilvl w:val="0"/>
          <w:numId w:val="42"/>
        </w:numPr>
        <w:spacing w:before="100" w:after="100" w:line="240" w:lineRule="auto"/>
        <w:divId w:val="2030140817"/>
      </w:pPr>
      <w:r>
        <w:t>Приказ Минздрава России от 7 июля 2015 г. N 422ан "Об утверждении критериев</w:t>
      </w:r>
    </w:p>
    <w:p w:rsidR="009F17BC" w:rsidRDefault="00753BA6">
      <w:pPr>
        <w:pStyle w:val="afa"/>
        <w:divId w:val="2030140817"/>
      </w:pPr>
      <w:r>
        <w:t>оценки качества медицинской помощи"</w:t>
      </w:r>
    </w:p>
    <w:p w:rsidR="009F17BC" w:rsidRDefault="00753BA6" w:rsidP="00753BA6">
      <w:pPr>
        <w:pStyle w:val="afa"/>
        <w:numPr>
          <w:ilvl w:val="0"/>
          <w:numId w:val="43"/>
        </w:numPr>
        <w:spacing w:before="100" w:after="100" w:line="240" w:lineRule="auto"/>
        <w:divId w:val="2030140817"/>
      </w:pPr>
      <w:r>
        <w:t>Постановление Правительства Российской Федерации «О порядке и условиях признания лица инвалидом» от 20 февраля 2006гю №95 (в ред. Постановлений Правительства РФ от 07.04.2008 № 247, от 30.12.2009 № 1121, от 06.02.2012 №89, от 16.04.2012 № 318, от 04.09.2012 № 882). Изменения, которые вносятся в Правила признания лица инвалидом, утвержденные Постановлением Правительства Российской Федерации от 7 апреля 2008г. № 24</w:t>
      </w:r>
    </w:p>
    <w:p w:rsidR="009F17BC" w:rsidRDefault="00753BA6" w:rsidP="00753BA6">
      <w:pPr>
        <w:pStyle w:val="afa"/>
        <w:numPr>
          <w:ilvl w:val="0"/>
          <w:numId w:val="43"/>
        </w:numPr>
        <w:spacing w:before="100" w:after="100" w:line="240" w:lineRule="auto"/>
        <w:divId w:val="2030140817"/>
      </w:pPr>
      <w:r>
        <w:t>Приказ Министерства Здравоохранения и Социального развития Российской Федерации от 17 декабря 2015 г. № 1024н «О классификации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экспертизы».</w:t>
      </w:r>
    </w:p>
    <w:p w:rsidR="009F17BC" w:rsidRDefault="00753BA6" w:rsidP="00753BA6">
      <w:pPr>
        <w:pStyle w:val="afa"/>
        <w:numPr>
          <w:ilvl w:val="0"/>
          <w:numId w:val="43"/>
        </w:numPr>
        <w:spacing w:before="100" w:after="100" w:line="240" w:lineRule="auto"/>
        <w:divId w:val="2030140817"/>
      </w:pPr>
      <w:r>
        <w:t>Приказ МЗ РФ № 109 от 21 марта 2003г. (ред. от 29.10.2009) «О совершенствовании противотуберкулёзных мероприятий в Российской Федерации»</w:t>
      </w:r>
    </w:p>
    <w:p w:rsidR="009F17BC" w:rsidRDefault="00753BA6" w:rsidP="00753BA6">
      <w:pPr>
        <w:pStyle w:val="afa"/>
        <w:numPr>
          <w:ilvl w:val="0"/>
          <w:numId w:val="43"/>
        </w:numPr>
        <w:spacing w:before="100" w:after="100" w:line="240" w:lineRule="auto"/>
        <w:divId w:val="2030140817"/>
      </w:pPr>
      <w:r w:rsidRPr="00762EA9">
        <w:t>Номенклатура</w:t>
      </w:r>
      <w:r>
        <w:t xml:space="preserve"> медицинских услуг (Министерство здравоохранения и социального развития Российской Федерации) 2011.</w:t>
      </w:r>
    </w:p>
    <w:p w:rsidR="009F17BC" w:rsidRDefault="00753BA6" w:rsidP="00753BA6">
      <w:pPr>
        <w:pStyle w:val="afa"/>
        <w:numPr>
          <w:ilvl w:val="0"/>
          <w:numId w:val="43"/>
        </w:numPr>
        <w:spacing w:before="100" w:after="100" w:line="240" w:lineRule="auto"/>
        <w:divId w:val="2030140817"/>
      </w:pPr>
      <w:r>
        <w:t>Перечень жизненно необходимых и важнейших лекарственных препаратов на 2016 г. Распоряжение Правительства РФ от 26.12.2015 № 2724-р.</w:t>
      </w:r>
    </w:p>
    <w:p w:rsidR="009F17BC" w:rsidRDefault="00753BA6" w:rsidP="00753BA6">
      <w:pPr>
        <w:pStyle w:val="afa"/>
        <w:numPr>
          <w:ilvl w:val="0"/>
          <w:numId w:val="43"/>
        </w:numPr>
        <w:spacing w:before="100" w:after="100" w:line="240" w:lineRule="auto"/>
        <w:divId w:val="2030140817"/>
      </w:pPr>
      <w:r w:rsidRPr="00762EA9">
        <w:t>Номенклатура</w:t>
      </w:r>
      <w:r>
        <w:t xml:space="preserve"> медицинских услуг (Министерство здравоохранения и социального развития Российской Федерации) 2011.</w:t>
      </w:r>
    </w:p>
    <w:p w:rsidR="009F17BC" w:rsidRDefault="00753BA6" w:rsidP="00753BA6">
      <w:pPr>
        <w:pStyle w:val="afa"/>
        <w:numPr>
          <w:ilvl w:val="0"/>
          <w:numId w:val="43"/>
        </w:numPr>
        <w:spacing w:before="100" w:after="100" w:line="240" w:lineRule="auto"/>
        <w:divId w:val="2030140817"/>
      </w:pPr>
      <w:r>
        <w:t>Федеральный закон «Об основах охраны здоровья граждан в Российской Федерации» от 21.11.2011 № 323 Ф3.</w:t>
      </w:r>
    </w:p>
    <w:p w:rsidR="00AD4D72" w:rsidRPr="008E3BA4" w:rsidRDefault="00753BA6" w:rsidP="008E3BA4">
      <w:pPr>
        <w:pStyle w:val="10"/>
        <w:jc w:val="center"/>
        <w:rPr>
          <w:u w:val="none"/>
        </w:rPr>
      </w:pPr>
      <w:r>
        <w:br w:type="page"/>
      </w:r>
      <w:bookmarkStart w:id="30" w:name="_Toc481656236"/>
      <w:r w:rsidRPr="008E3BA4">
        <w:rPr>
          <w:sz w:val="28"/>
          <w:szCs w:val="28"/>
          <w:u w:val="none"/>
        </w:rPr>
        <w:lastRenderedPageBreak/>
        <w:t>Приложение Б. Алгоритмы ведения пациента</w:t>
      </w:r>
      <w:bookmarkEnd w:id="30"/>
    </w:p>
    <w:p w:rsidR="009F17BC" w:rsidRDefault="00753BA6">
      <w:pPr>
        <w:pStyle w:val="afa"/>
        <w:divId w:val="1014840973"/>
      </w:pPr>
      <w:r>
        <w:t xml:space="preserve">Туберкулезный </w:t>
      </w:r>
      <w:proofErr w:type="spellStart"/>
      <w:r>
        <w:t>увеит</w:t>
      </w:r>
      <w:proofErr w:type="spellEnd"/>
    </w:p>
    <w:p w:rsidR="009F17BC" w:rsidRDefault="00753BA6">
      <w:pPr>
        <w:divId w:val="1645968137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673197" cy="4487406"/>
            <wp:effectExtent l="0" t="0" r="3810" b="8890"/>
            <wp:docPr id="2" name="Рисунок 2" descr="C:\images\16_7acab540-716b-4a4b-ac37-a3a21fd7d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16_7acab540-716b-4a4b-ac37-a3a21fd7d029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97" cy="44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72" w:rsidRPr="008E3BA4" w:rsidRDefault="00753BA6" w:rsidP="008E3BA4">
      <w:pPr>
        <w:pStyle w:val="10"/>
        <w:jc w:val="center"/>
        <w:rPr>
          <w:u w:val="none"/>
        </w:rPr>
      </w:pPr>
      <w:r>
        <w:br w:type="page"/>
      </w:r>
      <w:bookmarkStart w:id="31" w:name="_Toc481656237"/>
      <w:r w:rsidRPr="008E3BA4">
        <w:rPr>
          <w:sz w:val="28"/>
          <w:szCs w:val="28"/>
          <w:u w:val="none"/>
        </w:rPr>
        <w:lastRenderedPageBreak/>
        <w:t>Приложение В. Информация для пациентов</w:t>
      </w:r>
      <w:bookmarkEnd w:id="31"/>
    </w:p>
    <w:p w:rsidR="009F17BC" w:rsidRDefault="00753BA6">
      <w:pPr>
        <w:pStyle w:val="afa"/>
        <w:divId w:val="1039014815"/>
      </w:pPr>
      <w:r>
        <w:t xml:space="preserve">Больной должен избегать таких факторов риска развития туберкулезных </w:t>
      </w:r>
      <w:proofErr w:type="spellStart"/>
      <w:r>
        <w:t>увеитов</w:t>
      </w:r>
      <w:proofErr w:type="spellEnd"/>
      <w:r>
        <w:t xml:space="preserve"> как неполноценное питание с недостатком витаминов, неблагоприятные социальные и экологические условия жизни, алкоголизм, курение, наркомания, хроническая усталость, переутомление, стрессы.</w:t>
      </w:r>
    </w:p>
    <w:p w:rsidR="009F17BC" w:rsidRDefault="00753BA6">
      <w:pPr>
        <w:pStyle w:val="afa"/>
        <w:divId w:val="1039014815"/>
      </w:pPr>
      <w:r>
        <w:t>Отрицательно влияют на исход лечения: отказ от проведения химиотерапии, прерывание курса химиотерапии, проведение химиотерапии низкими дозами антибиотиков.</w:t>
      </w:r>
    </w:p>
    <w:p w:rsidR="00AD4D72" w:rsidRPr="008E3BA4" w:rsidRDefault="00753BA6" w:rsidP="008E3BA4">
      <w:pPr>
        <w:pStyle w:val="10"/>
        <w:jc w:val="center"/>
        <w:rPr>
          <w:u w:val="none"/>
        </w:rPr>
      </w:pPr>
      <w:r>
        <w:br w:type="page"/>
      </w:r>
      <w:bookmarkStart w:id="32" w:name="_Toc481656238"/>
      <w:r w:rsidR="00774A3F" w:rsidRPr="008E3BA4">
        <w:rPr>
          <w:sz w:val="28"/>
          <w:szCs w:val="28"/>
          <w:u w:val="none"/>
        </w:rPr>
        <w:lastRenderedPageBreak/>
        <w:t>Приложение Г</w:t>
      </w:r>
      <w:bookmarkEnd w:id="32"/>
    </w:p>
    <w:p w:rsidR="009F17BC" w:rsidRDefault="00753BA6">
      <w:pPr>
        <w:pStyle w:val="afa"/>
        <w:divId w:val="1975483145"/>
      </w:pPr>
      <w:r>
        <w:rPr>
          <w:rStyle w:val="aff9"/>
        </w:rPr>
        <w:t>Системное противотуберкулезное лечение основывается на общих положениях химиотерапии туберкулеза, которые представлены в методических рекомендациях по совершенствованию диагностики и лечения туберкулеза органов дыхания, утвержденных приказом Минздрава России от 29.12.2014 № 951 [9].</w:t>
      </w:r>
    </w:p>
    <w:p w:rsidR="009F17BC" w:rsidRDefault="00753BA6">
      <w:pPr>
        <w:pStyle w:val="afa"/>
        <w:divId w:val="1975483145"/>
      </w:pPr>
      <w:r>
        <w:rPr>
          <w:rStyle w:val="aff9"/>
        </w:rPr>
        <w:t>Для проведения химиотерапии применяются лекарственные препараты 1 ряда (</w:t>
      </w:r>
      <w:proofErr w:type="spellStart"/>
      <w:r>
        <w:rPr>
          <w:rStyle w:val="aff9"/>
        </w:rPr>
        <w:t>изониазид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рифампицин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рифабутин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пиразинамид</w:t>
      </w:r>
      <w:proofErr w:type="spellEnd"/>
      <w:r>
        <w:rPr>
          <w:rStyle w:val="aff9"/>
        </w:rPr>
        <w:t>**, стрептомицин**), лекарственные препараты 2 ряда, (</w:t>
      </w:r>
      <w:proofErr w:type="spellStart"/>
      <w:r>
        <w:rPr>
          <w:rStyle w:val="aff9"/>
        </w:rPr>
        <w:t>канамицин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амикацин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капреомицин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левофлоксацин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моксифлоксацин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спарфлоксацин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протионамид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этионамид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циклосерин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теризидон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аминосалициловая</w:t>
      </w:r>
      <w:proofErr w:type="spellEnd"/>
      <w:r>
        <w:rPr>
          <w:rStyle w:val="aff9"/>
        </w:rPr>
        <w:t xml:space="preserve"> кислота**, </w:t>
      </w:r>
      <w:proofErr w:type="spellStart"/>
      <w:r>
        <w:rPr>
          <w:rStyle w:val="aff9"/>
        </w:rPr>
        <w:t>бедаквилин</w:t>
      </w:r>
      <w:proofErr w:type="spellEnd"/>
      <w:r>
        <w:rPr>
          <w:rStyle w:val="aff9"/>
        </w:rPr>
        <w:t>**) и лекарственные препараты 3 ряда (</w:t>
      </w:r>
      <w:proofErr w:type="spellStart"/>
      <w:r>
        <w:rPr>
          <w:rStyle w:val="aff9"/>
        </w:rPr>
        <w:t>линезолид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меропенем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имипенем+циластатин</w:t>
      </w:r>
      <w:proofErr w:type="spellEnd"/>
      <w:r>
        <w:rPr>
          <w:rStyle w:val="aff9"/>
        </w:rPr>
        <w:t xml:space="preserve">**, </w:t>
      </w:r>
      <w:proofErr w:type="spellStart"/>
      <w:r>
        <w:rPr>
          <w:rStyle w:val="aff9"/>
        </w:rPr>
        <w:t>амоксициллин+клавулановая</w:t>
      </w:r>
      <w:proofErr w:type="spellEnd"/>
      <w:r>
        <w:rPr>
          <w:rStyle w:val="aff9"/>
        </w:rPr>
        <w:t xml:space="preserve"> кислота**). Решение о назначении лекарственных препаратов 3-го ряда принимается врачебной комиссией противотуберкулезного диспансера или туберкулезной больницы.</w:t>
      </w:r>
    </w:p>
    <w:p w:rsidR="009F17BC" w:rsidRDefault="00753BA6">
      <w:pPr>
        <w:pStyle w:val="afa"/>
        <w:divId w:val="1975483145"/>
      </w:pPr>
      <w:r>
        <w:rPr>
          <w:rStyle w:val="aff9"/>
        </w:rPr>
        <w:t>Химиотерапия больных туберкулезом проводится в виде режимов химиотерапии. Назначение лекарственных препаратов для химиотерапии больных туберкулезом осуществляется при наличии их полного набора [9] в соответствии с назначенным режимом химиотерапии и (или) при условии гарантированного бесперебойного лекарственного обеспечения в течение всего срока лечения.</w:t>
      </w:r>
    </w:p>
    <w:p w:rsidR="009F17BC" w:rsidRDefault="00753BA6">
      <w:pPr>
        <w:pStyle w:val="afa"/>
        <w:divId w:val="1975483145"/>
      </w:pPr>
      <w:r>
        <w:rPr>
          <w:rStyle w:val="aff9"/>
        </w:rPr>
        <w:t>Перед назначением режима химиотерапии: определяется режим химиотерапии в соответствии с результатами о лекарственной чувствительности возбудителя или наличием риска множественной лекарственной устойчивости возбудителя при их отсутствии; оценивается риск возникновения побочных действий антибактериальных и противотуберкулезных лекарственных препаратов у больного туберкулезом с сопутствующей патологией и функциональными нарушениями органов и систем; определяется сопутствующая терапия для предотвращения побочных действий антибактериальных и противотуберкулезных лекарственных препаратов; определяется патогенетическая терапия при наличии показаний; определяются методы и сроки обследования больного туберкулезом для контроля эффективности лечения.</w:t>
      </w:r>
    </w:p>
    <w:p w:rsidR="009F17BC" w:rsidRDefault="00753BA6">
      <w:pPr>
        <w:pStyle w:val="afa"/>
        <w:divId w:val="1975483145"/>
      </w:pPr>
      <w:r>
        <w:rPr>
          <w:rStyle w:val="aff9"/>
        </w:rPr>
        <w:t>  </w:t>
      </w:r>
      <w:r>
        <w:rPr>
          <w:rStyle w:val="aff8"/>
        </w:rPr>
        <w:t>Таблица 4 - Суточные дозы противотуберкулезных и антибактериальных препаратов для взрослых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321"/>
        <w:gridCol w:w="2321"/>
        <w:gridCol w:w="2360"/>
      </w:tblGrid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  <w:b/>
                <w:bCs/>
              </w:rPr>
              <w:t>Препарат</w:t>
            </w:r>
          </w:p>
        </w:tc>
        <w:tc>
          <w:tcPr>
            <w:tcW w:w="7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  <w:b/>
                <w:bCs/>
              </w:rPr>
              <w:t>Суточные дозы (при ежедневном приеме)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  <w:b/>
                <w:bCs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33-50 кг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51-70 кг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более 70 кг (также максимальная доза)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Изониазид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300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300-600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600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Рифампицин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450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450-600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600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Пиразинамид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1000-1500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1500-2000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2000-2500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r>
              <w:rPr>
                <w:rStyle w:val="aff9"/>
              </w:rPr>
              <w:t>Стрептомицин**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500-750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lastRenderedPageBreak/>
              <w:t>Канамицин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500-750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Амикацин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500-750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Левофлоксацин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750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750-1000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Моксифлоксацин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400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400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400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Офлоксацин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800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800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800-1000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Протионамид</w:t>
            </w:r>
            <w:proofErr w:type="spellEnd"/>
            <w:r>
              <w:rPr>
                <w:rStyle w:val="aff9"/>
              </w:rPr>
              <w:t xml:space="preserve">**, </w:t>
            </w:r>
            <w:proofErr w:type="spellStart"/>
            <w:r>
              <w:rPr>
                <w:rStyle w:val="aff9"/>
              </w:rPr>
              <w:t>этионамид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500-мг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750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750-1000 мг</w:t>
            </w:r>
          </w:p>
        </w:tc>
      </w:tr>
      <w:tr w:rsidR="009F17BC">
        <w:trPr>
          <w:divId w:val="197548314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</w:pPr>
            <w:proofErr w:type="spellStart"/>
            <w:r>
              <w:rPr>
                <w:rStyle w:val="aff9"/>
              </w:rPr>
              <w:t>Капреомицин</w:t>
            </w:r>
            <w:proofErr w:type="spellEnd"/>
            <w:r>
              <w:rPr>
                <w:rStyle w:val="aff9"/>
              </w:rPr>
              <w:t>**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500-750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7BC" w:rsidRDefault="00753BA6">
            <w:pPr>
              <w:pStyle w:val="afa"/>
              <w:jc w:val="center"/>
            </w:pPr>
            <w:r>
              <w:rPr>
                <w:rStyle w:val="aff9"/>
              </w:rPr>
              <w:t>1000 мг</w:t>
            </w:r>
          </w:p>
        </w:tc>
      </w:tr>
    </w:tbl>
    <w:p w:rsidR="009F17BC" w:rsidRDefault="00753BA6">
      <w:pPr>
        <w:pStyle w:val="afa"/>
        <w:jc w:val="center"/>
        <w:divId w:val="1975483145"/>
        <w:rPr>
          <w:rFonts w:eastAsiaTheme="minorEastAsia"/>
        </w:rPr>
      </w:pPr>
      <w:r>
        <w:rPr>
          <w:rStyle w:val="aff8"/>
        </w:rPr>
        <w:t>Системная кортикостероидная терапия</w:t>
      </w:r>
    </w:p>
    <w:p w:rsidR="009F17BC" w:rsidRDefault="00753BA6" w:rsidP="00753BA6">
      <w:pPr>
        <w:numPr>
          <w:ilvl w:val="0"/>
          <w:numId w:val="44"/>
        </w:numPr>
        <w:spacing w:before="100" w:beforeAutospacing="1" w:after="100" w:afterAutospacing="1" w:line="240" w:lineRule="auto"/>
        <w:divId w:val="1975483145"/>
        <w:rPr>
          <w:rFonts w:eastAsia="Times New Roman"/>
        </w:rPr>
      </w:pPr>
      <w:proofErr w:type="spellStart"/>
      <w:r>
        <w:rPr>
          <w:rFonts w:eastAsia="Times New Roman"/>
        </w:rPr>
        <w:t>Дексаметазон</w:t>
      </w:r>
      <w:proofErr w:type="spellEnd"/>
      <w:r>
        <w:rPr>
          <w:rFonts w:eastAsia="Times New Roman"/>
        </w:rPr>
        <w:t xml:space="preserve">** или </w:t>
      </w:r>
      <w:proofErr w:type="spellStart"/>
      <w:r>
        <w:rPr>
          <w:rFonts w:eastAsia="Times New Roman"/>
        </w:rPr>
        <w:t>метилпреднизолон</w:t>
      </w:r>
      <w:proofErr w:type="spellEnd"/>
      <w:r>
        <w:rPr>
          <w:rFonts w:eastAsia="Times New Roman"/>
        </w:rPr>
        <w:t>** рекомендуется пациентам с выраженными экссудативными, пролиферативными и аллергическими процес</w:t>
      </w:r>
      <w:r>
        <w:rPr>
          <w:rFonts w:eastAsia="Times New Roman"/>
        </w:rPr>
        <w:softHyphen/>
        <w:t>сами [2, 3, 4].</w:t>
      </w:r>
    </w:p>
    <w:p w:rsidR="009F17BC" w:rsidRDefault="00753BA6">
      <w:pPr>
        <w:pStyle w:val="afa"/>
        <w:divId w:val="1975483145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4)</w:t>
      </w:r>
    </w:p>
    <w:p w:rsidR="009F17BC" w:rsidRDefault="00753BA6">
      <w:pPr>
        <w:pStyle w:val="afa"/>
        <w:divId w:val="1975483145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При впервые выявленном активном туберкулезном процессе системно стероиды назначаются не ранее 4 недель после начала антибиотикотерапии. </w:t>
      </w:r>
    </w:p>
    <w:p w:rsidR="009F17BC" w:rsidRDefault="00753BA6">
      <w:pPr>
        <w:pStyle w:val="afa"/>
        <w:divId w:val="1975483145"/>
      </w:pPr>
      <w:proofErr w:type="spellStart"/>
      <w:r>
        <w:rPr>
          <w:rStyle w:val="aff9"/>
        </w:rPr>
        <w:t>Метилпреднизолон</w:t>
      </w:r>
      <w:proofErr w:type="spellEnd"/>
      <w:r>
        <w:rPr>
          <w:rStyle w:val="aff9"/>
        </w:rPr>
        <w:t xml:space="preserve">** в дозе 250 мг вводится внутривенно </w:t>
      </w:r>
      <w:proofErr w:type="spellStart"/>
      <w:r>
        <w:rPr>
          <w:rStyle w:val="aff9"/>
        </w:rPr>
        <w:t>капельно</w:t>
      </w:r>
      <w:proofErr w:type="spellEnd"/>
      <w:r>
        <w:rPr>
          <w:rStyle w:val="aff9"/>
        </w:rPr>
        <w:t xml:space="preserve"> 3 раза в неделю через день, затем, при необходимости доза снижается до 125 мг и вводится также 3 раза в неделю. </w:t>
      </w:r>
    </w:p>
    <w:p w:rsidR="00753BA6" w:rsidRDefault="00753BA6">
      <w:pPr>
        <w:pStyle w:val="afa"/>
        <w:divId w:val="1975483145"/>
      </w:pPr>
      <w:r>
        <w:rPr>
          <w:rStyle w:val="aff9"/>
        </w:rPr>
        <w:t xml:space="preserve">Для проведения прерывистой внутривенной терапии также используется </w:t>
      </w:r>
      <w:proofErr w:type="spellStart"/>
      <w:r>
        <w:rPr>
          <w:rStyle w:val="aff9"/>
        </w:rPr>
        <w:t>дексаметазон</w:t>
      </w:r>
      <w:proofErr w:type="spellEnd"/>
      <w:r>
        <w:rPr>
          <w:rStyle w:val="aff9"/>
        </w:rPr>
        <w:t xml:space="preserve">** по 16–20 мг в день внутривенно </w:t>
      </w:r>
      <w:proofErr w:type="spellStart"/>
      <w:r>
        <w:rPr>
          <w:rStyle w:val="aff9"/>
        </w:rPr>
        <w:t>капельно</w:t>
      </w:r>
      <w:proofErr w:type="spellEnd"/>
      <w:r>
        <w:rPr>
          <w:rStyle w:val="aff9"/>
        </w:rPr>
        <w:t xml:space="preserve"> либо через день, либо – через 2 дня на 3. Обычно препарат вводится 3 раза, затем его доза уменьшается до 16–8 мг, и лечение продолжается по той же схеме.</w:t>
      </w:r>
    </w:p>
    <w:sectPr w:rsidR="00753BA6" w:rsidSect="002534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9E" w:rsidRDefault="0091259E">
      <w:pPr>
        <w:spacing w:line="240" w:lineRule="auto"/>
      </w:pPr>
      <w:r>
        <w:separator/>
      </w:r>
    </w:p>
  </w:endnote>
  <w:endnote w:type="continuationSeparator" w:id="0">
    <w:p w:rsidR="0091259E" w:rsidRDefault="00912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631649"/>
      <w:docPartObj>
        <w:docPartGallery w:val="Page Numbers (Bottom of Page)"/>
        <w:docPartUnique/>
      </w:docPartObj>
    </w:sdtPr>
    <w:sdtContent>
      <w:p w:rsidR="00762EA9" w:rsidRDefault="00762EA9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E3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9E" w:rsidRDefault="0091259E">
      <w:pPr>
        <w:spacing w:line="240" w:lineRule="auto"/>
      </w:pPr>
      <w:r>
        <w:separator/>
      </w:r>
    </w:p>
  </w:footnote>
  <w:footnote w:type="continuationSeparator" w:id="0">
    <w:p w:rsidR="0091259E" w:rsidRDefault="00912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A9" w:rsidRDefault="00762EA9">
    <w:pPr>
      <w:pStyle w:val="af8"/>
      <w:jc w:val="right"/>
      <w:rPr>
        <w:i/>
      </w:rPr>
    </w:pPr>
    <w:r>
      <w:rPr>
        <w:i/>
      </w:rPr>
      <w:t>КР285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5116"/>
    <w:multiLevelType w:val="multilevel"/>
    <w:tmpl w:val="F4EC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E6FCA"/>
    <w:multiLevelType w:val="multilevel"/>
    <w:tmpl w:val="C55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A288C"/>
    <w:multiLevelType w:val="multilevel"/>
    <w:tmpl w:val="9D7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943E3"/>
    <w:multiLevelType w:val="multilevel"/>
    <w:tmpl w:val="30CE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7549E"/>
    <w:multiLevelType w:val="multilevel"/>
    <w:tmpl w:val="F0B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C598A"/>
    <w:multiLevelType w:val="multilevel"/>
    <w:tmpl w:val="72D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979AC"/>
    <w:multiLevelType w:val="multilevel"/>
    <w:tmpl w:val="3196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15EF1"/>
    <w:multiLevelType w:val="multilevel"/>
    <w:tmpl w:val="F90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25D3A"/>
    <w:multiLevelType w:val="multilevel"/>
    <w:tmpl w:val="87B8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602C7"/>
    <w:multiLevelType w:val="multilevel"/>
    <w:tmpl w:val="5C1E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815D0"/>
    <w:multiLevelType w:val="multilevel"/>
    <w:tmpl w:val="F31E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C38AE"/>
    <w:multiLevelType w:val="multilevel"/>
    <w:tmpl w:val="795A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E72A2"/>
    <w:multiLevelType w:val="multilevel"/>
    <w:tmpl w:val="2148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2140E"/>
    <w:multiLevelType w:val="multilevel"/>
    <w:tmpl w:val="07D6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2A256E"/>
    <w:multiLevelType w:val="multilevel"/>
    <w:tmpl w:val="3814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9438A"/>
    <w:multiLevelType w:val="multilevel"/>
    <w:tmpl w:val="80A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8E0A41"/>
    <w:multiLevelType w:val="multilevel"/>
    <w:tmpl w:val="28E8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80657"/>
    <w:multiLevelType w:val="multilevel"/>
    <w:tmpl w:val="D7CE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D2F64"/>
    <w:multiLevelType w:val="multilevel"/>
    <w:tmpl w:val="A8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15CFD"/>
    <w:multiLevelType w:val="multilevel"/>
    <w:tmpl w:val="489E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B2584"/>
    <w:multiLevelType w:val="multilevel"/>
    <w:tmpl w:val="F66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B719A"/>
    <w:multiLevelType w:val="multilevel"/>
    <w:tmpl w:val="DEC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A3E6C"/>
    <w:multiLevelType w:val="multilevel"/>
    <w:tmpl w:val="E154F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F4328"/>
    <w:multiLevelType w:val="multilevel"/>
    <w:tmpl w:val="1DE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85D68"/>
    <w:multiLevelType w:val="multilevel"/>
    <w:tmpl w:val="5642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030BDF"/>
    <w:multiLevelType w:val="multilevel"/>
    <w:tmpl w:val="340C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62E42"/>
    <w:multiLevelType w:val="multilevel"/>
    <w:tmpl w:val="B2AC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A75C99"/>
    <w:multiLevelType w:val="multilevel"/>
    <w:tmpl w:val="25B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65348"/>
    <w:multiLevelType w:val="multilevel"/>
    <w:tmpl w:val="8E6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7A1A8A"/>
    <w:multiLevelType w:val="multilevel"/>
    <w:tmpl w:val="89BC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C4B90"/>
    <w:multiLevelType w:val="multilevel"/>
    <w:tmpl w:val="496A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74E59"/>
    <w:multiLevelType w:val="multilevel"/>
    <w:tmpl w:val="F50C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3510F"/>
    <w:multiLevelType w:val="multilevel"/>
    <w:tmpl w:val="DFA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B7BD0"/>
    <w:multiLevelType w:val="multilevel"/>
    <w:tmpl w:val="7536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EF7D29"/>
    <w:multiLevelType w:val="multilevel"/>
    <w:tmpl w:val="A96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C03E4"/>
    <w:multiLevelType w:val="multilevel"/>
    <w:tmpl w:val="E1FA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766111"/>
    <w:multiLevelType w:val="multilevel"/>
    <w:tmpl w:val="413E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7CC1275"/>
    <w:multiLevelType w:val="multilevel"/>
    <w:tmpl w:val="A7D0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1E691E"/>
    <w:multiLevelType w:val="multilevel"/>
    <w:tmpl w:val="084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313BA"/>
    <w:multiLevelType w:val="multilevel"/>
    <w:tmpl w:val="D0E2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44369A"/>
    <w:multiLevelType w:val="multilevel"/>
    <w:tmpl w:val="FB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F62C9"/>
    <w:multiLevelType w:val="multilevel"/>
    <w:tmpl w:val="2714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21"/>
  </w:num>
  <w:num w:numId="4">
    <w:abstractNumId w:val="18"/>
  </w:num>
  <w:num w:numId="5">
    <w:abstractNumId w:val="26"/>
  </w:num>
  <w:num w:numId="6">
    <w:abstractNumId w:val="29"/>
  </w:num>
  <w:num w:numId="7">
    <w:abstractNumId w:val="43"/>
  </w:num>
  <w:num w:numId="8">
    <w:abstractNumId w:val="22"/>
  </w:num>
  <w:num w:numId="9">
    <w:abstractNumId w:val="19"/>
  </w:num>
  <w:num w:numId="10">
    <w:abstractNumId w:val="13"/>
  </w:num>
  <w:num w:numId="11">
    <w:abstractNumId w:val="10"/>
  </w:num>
  <w:num w:numId="12">
    <w:abstractNumId w:val="33"/>
  </w:num>
  <w:num w:numId="13">
    <w:abstractNumId w:val="12"/>
  </w:num>
  <w:num w:numId="14">
    <w:abstractNumId w:val="5"/>
  </w:num>
  <w:num w:numId="15">
    <w:abstractNumId w:val="32"/>
  </w:num>
  <w:num w:numId="16">
    <w:abstractNumId w:val="23"/>
  </w:num>
  <w:num w:numId="17">
    <w:abstractNumId w:val="39"/>
  </w:num>
  <w:num w:numId="18">
    <w:abstractNumId w:val="15"/>
  </w:num>
  <w:num w:numId="19">
    <w:abstractNumId w:val="36"/>
  </w:num>
  <w:num w:numId="20">
    <w:abstractNumId w:val="31"/>
  </w:num>
  <w:num w:numId="21">
    <w:abstractNumId w:val="35"/>
  </w:num>
  <w:num w:numId="22">
    <w:abstractNumId w:val="2"/>
  </w:num>
  <w:num w:numId="23">
    <w:abstractNumId w:val="41"/>
  </w:num>
  <w:num w:numId="24">
    <w:abstractNumId w:val="16"/>
  </w:num>
  <w:num w:numId="25">
    <w:abstractNumId w:val="42"/>
  </w:num>
  <w:num w:numId="26">
    <w:abstractNumId w:val="24"/>
  </w:num>
  <w:num w:numId="27">
    <w:abstractNumId w:val="28"/>
  </w:num>
  <w:num w:numId="28">
    <w:abstractNumId w:val="4"/>
  </w:num>
  <w:num w:numId="29">
    <w:abstractNumId w:val="25"/>
  </w:num>
  <w:num w:numId="30">
    <w:abstractNumId w:val="7"/>
  </w:num>
  <w:num w:numId="31">
    <w:abstractNumId w:val="17"/>
  </w:num>
  <w:num w:numId="32">
    <w:abstractNumId w:val="37"/>
  </w:num>
  <w:num w:numId="33">
    <w:abstractNumId w:val="40"/>
  </w:num>
  <w:num w:numId="34">
    <w:abstractNumId w:val="3"/>
  </w:num>
  <w:num w:numId="35">
    <w:abstractNumId w:val="8"/>
  </w:num>
  <w:num w:numId="36">
    <w:abstractNumId w:val="20"/>
  </w:num>
  <w:num w:numId="37">
    <w:abstractNumId w:val="27"/>
  </w:num>
  <w:num w:numId="38">
    <w:abstractNumId w:val="1"/>
  </w:num>
  <w:num w:numId="39">
    <w:abstractNumId w:val="11"/>
  </w:num>
  <w:num w:numId="40">
    <w:abstractNumId w:val="6"/>
  </w:num>
  <w:num w:numId="41">
    <w:abstractNumId w:val="14"/>
  </w:num>
  <w:num w:numId="42">
    <w:abstractNumId w:val="0"/>
  </w:num>
  <w:num w:numId="43">
    <w:abstractNumId w:val="9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A3"/>
    <w:rsid w:val="00146FA3"/>
    <w:rsid w:val="00187BA3"/>
    <w:rsid w:val="001942DC"/>
    <w:rsid w:val="001D6CD3"/>
    <w:rsid w:val="0025343D"/>
    <w:rsid w:val="002A0C02"/>
    <w:rsid w:val="002E36E0"/>
    <w:rsid w:val="002F7719"/>
    <w:rsid w:val="003246B1"/>
    <w:rsid w:val="0036727F"/>
    <w:rsid w:val="004C6DE4"/>
    <w:rsid w:val="00536B85"/>
    <w:rsid w:val="005F668D"/>
    <w:rsid w:val="0067759D"/>
    <w:rsid w:val="00753BA6"/>
    <w:rsid w:val="00762EA9"/>
    <w:rsid w:val="00766F0A"/>
    <w:rsid w:val="00774A3F"/>
    <w:rsid w:val="008739DA"/>
    <w:rsid w:val="008D6F8C"/>
    <w:rsid w:val="008E3BA4"/>
    <w:rsid w:val="0091259E"/>
    <w:rsid w:val="009779A4"/>
    <w:rsid w:val="009B6E74"/>
    <w:rsid w:val="009C6B5A"/>
    <w:rsid w:val="009E685D"/>
    <w:rsid w:val="009F17BC"/>
    <w:rsid w:val="00A54102"/>
    <w:rsid w:val="00AA5661"/>
    <w:rsid w:val="00AA7208"/>
    <w:rsid w:val="00AD4D72"/>
    <w:rsid w:val="00AF4139"/>
    <w:rsid w:val="00B8507B"/>
    <w:rsid w:val="00BD0E69"/>
    <w:rsid w:val="00C15EE2"/>
    <w:rsid w:val="00C21E3D"/>
    <w:rsid w:val="00C76650"/>
    <w:rsid w:val="00CB6FFD"/>
    <w:rsid w:val="00D2226B"/>
    <w:rsid w:val="00D35B12"/>
    <w:rsid w:val="00DB548C"/>
    <w:rsid w:val="00E4137C"/>
    <w:rsid w:val="00FD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308D412-7DB4-4610-9949-7F759423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1"/>
    <w:uiPriority w:val="34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5343D"/>
    <w:rPr>
      <w:rFonts w:cs="Courier New"/>
    </w:rPr>
  </w:style>
  <w:style w:type="character" w:customStyle="1" w:styleId="ListLabel2">
    <w:name w:val="ListLabel 2"/>
    <w:qFormat/>
    <w:rsid w:val="0025343D"/>
    <w:rPr>
      <w:rFonts w:cs="Courier New"/>
    </w:rPr>
  </w:style>
  <w:style w:type="character" w:customStyle="1" w:styleId="ListLabel3">
    <w:name w:val="ListLabel 3"/>
    <w:qFormat/>
    <w:rsid w:val="0025343D"/>
    <w:rPr>
      <w:rFonts w:cs="Courier New"/>
    </w:rPr>
  </w:style>
  <w:style w:type="character" w:customStyle="1" w:styleId="ListLabel4">
    <w:name w:val="ListLabel 4"/>
    <w:qFormat/>
    <w:rsid w:val="0025343D"/>
    <w:rPr>
      <w:rFonts w:cs="Courier New"/>
    </w:rPr>
  </w:style>
  <w:style w:type="character" w:customStyle="1" w:styleId="ListLabel5">
    <w:name w:val="ListLabel 5"/>
    <w:qFormat/>
    <w:rsid w:val="0025343D"/>
    <w:rPr>
      <w:rFonts w:cs="Courier New"/>
    </w:rPr>
  </w:style>
  <w:style w:type="character" w:customStyle="1" w:styleId="ListLabel6">
    <w:name w:val="ListLabel 6"/>
    <w:qFormat/>
    <w:rsid w:val="0025343D"/>
    <w:rPr>
      <w:rFonts w:cs="Courier New"/>
    </w:rPr>
  </w:style>
  <w:style w:type="character" w:customStyle="1" w:styleId="ListLabel7">
    <w:name w:val="ListLabel 7"/>
    <w:qFormat/>
    <w:rsid w:val="0025343D"/>
    <w:rPr>
      <w:rFonts w:cs="Courier New"/>
    </w:rPr>
  </w:style>
  <w:style w:type="character" w:customStyle="1" w:styleId="ListLabel8">
    <w:name w:val="ListLabel 8"/>
    <w:qFormat/>
    <w:rsid w:val="0025343D"/>
    <w:rPr>
      <w:rFonts w:cs="Courier New"/>
    </w:rPr>
  </w:style>
  <w:style w:type="character" w:customStyle="1" w:styleId="ListLabel9">
    <w:name w:val="ListLabel 9"/>
    <w:qFormat/>
    <w:rsid w:val="0025343D"/>
    <w:rPr>
      <w:rFonts w:cs="Courier New"/>
    </w:rPr>
  </w:style>
  <w:style w:type="character" w:customStyle="1" w:styleId="ListLabel10">
    <w:name w:val="ListLabel 10"/>
    <w:qFormat/>
    <w:rsid w:val="0025343D"/>
    <w:rPr>
      <w:rFonts w:cs="Courier New"/>
      <w:sz w:val="24"/>
    </w:rPr>
  </w:style>
  <w:style w:type="character" w:customStyle="1" w:styleId="ListLabel11">
    <w:name w:val="ListLabel 11"/>
    <w:qFormat/>
    <w:rsid w:val="0025343D"/>
    <w:rPr>
      <w:rFonts w:cs="Courier New"/>
    </w:rPr>
  </w:style>
  <w:style w:type="character" w:customStyle="1" w:styleId="ListLabel12">
    <w:name w:val="ListLabel 12"/>
    <w:qFormat/>
    <w:rsid w:val="0025343D"/>
    <w:rPr>
      <w:rFonts w:cs="Courier New"/>
    </w:rPr>
  </w:style>
  <w:style w:type="character" w:customStyle="1" w:styleId="ListLabel13">
    <w:name w:val="ListLabel 13"/>
    <w:qFormat/>
    <w:rsid w:val="0025343D"/>
    <w:rPr>
      <w:rFonts w:cs="Courier New"/>
    </w:rPr>
  </w:style>
  <w:style w:type="character" w:customStyle="1" w:styleId="ListLabel14">
    <w:name w:val="ListLabel 14"/>
    <w:qFormat/>
    <w:rsid w:val="0025343D"/>
    <w:rPr>
      <w:rFonts w:cs="Courier New"/>
    </w:rPr>
  </w:style>
  <w:style w:type="character" w:customStyle="1" w:styleId="ListLabel15">
    <w:name w:val="ListLabel 15"/>
    <w:qFormat/>
    <w:rsid w:val="0025343D"/>
    <w:rPr>
      <w:rFonts w:cs="Courier New"/>
    </w:rPr>
  </w:style>
  <w:style w:type="character" w:customStyle="1" w:styleId="ListLabel16">
    <w:name w:val="ListLabel 16"/>
    <w:qFormat/>
    <w:rsid w:val="0025343D"/>
    <w:rPr>
      <w:rFonts w:cs="Courier New"/>
    </w:rPr>
  </w:style>
  <w:style w:type="character" w:customStyle="1" w:styleId="ListLabel17">
    <w:name w:val="ListLabel 17"/>
    <w:qFormat/>
    <w:rsid w:val="0025343D"/>
    <w:rPr>
      <w:rFonts w:cs="Courier New"/>
    </w:rPr>
  </w:style>
  <w:style w:type="character" w:customStyle="1" w:styleId="ListLabel18">
    <w:name w:val="ListLabel 18"/>
    <w:qFormat/>
    <w:rsid w:val="0025343D"/>
    <w:rPr>
      <w:rFonts w:cs="Courier New"/>
    </w:rPr>
  </w:style>
  <w:style w:type="character" w:customStyle="1" w:styleId="ListLabel19">
    <w:name w:val="ListLabel 19"/>
    <w:qFormat/>
    <w:rsid w:val="0025343D"/>
    <w:rPr>
      <w:rFonts w:cs="Courier New"/>
    </w:rPr>
  </w:style>
  <w:style w:type="character" w:customStyle="1" w:styleId="ListLabel20">
    <w:name w:val="ListLabel 20"/>
    <w:qFormat/>
    <w:rsid w:val="0025343D"/>
    <w:rPr>
      <w:rFonts w:cs="Courier New"/>
    </w:rPr>
  </w:style>
  <w:style w:type="character" w:customStyle="1" w:styleId="ListLabel21">
    <w:name w:val="ListLabel 21"/>
    <w:qFormat/>
    <w:rsid w:val="0025343D"/>
    <w:rPr>
      <w:rFonts w:cs="Courier New"/>
    </w:rPr>
  </w:style>
  <w:style w:type="character" w:customStyle="1" w:styleId="ListLabel22">
    <w:name w:val="ListLabel 22"/>
    <w:qFormat/>
    <w:rsid w:val="0025343D"/>
    <w:rPr>
      <w:rFonts w:cs="Courier New"/>
    </w:rPr>
  </w:style>
  <w:style w:type="character" w:customStyle="1" w:styleId="ListLabel23">
    <w:name w:val="ListLabel 23"/>
    <w:qFormat/>
    <w:rsid w:val="0025343D"/>
    <w:rPr>
      <w:rFonts w:cs="Courier New"/>
    </w:rPr>
  </w:style>
  <w:style w:type="character" w:customStyle="1" w:styleId="ListLabel24">
    <w:name w:val="ListLabel 24"/>
    <w:qFormat/>
    <w:rsid w:val="0025343D"/>
    <w:rPr>
      <w:rFonts w:cs="Courier New"/>
    </w:rPr>
  </w:style>
  <w:style w:type="character" w:customStyle="1" w:styleId="ListLabel25">
    <w:name w:val="ListLabel 25"/>
    <w:qFormat/>
    <w:rsid w:val="0025343D"/>
    <w:rPr>
      <w:rFonts w:cs="Courier New"/>
    </w:rPr>
  </w:style>
  <w:style w:type="character" w:customStyle="1" w:styleId="ListLabel26">
    <w:name w:val="ListLabel 26"/>
    <w:qFormat/>
    <w:rsid w:val="0025343D"/>
    <w:rPr>
      <w:rFonts w:cs="Courier New"/>
    </w:rPr>
  </w:style>
  <w:style w:type="character" w:customStyle="1" w:styleId="ListLabel27">
    <w:name w:val="ListLabel 27"/>
    <w:qFormat/>
    <w:rsid w:val="0025343D"/>
    <w:rPr>
      <w:rFonts w:cs="Courier New"/>
    </w:rPr>
  </w:style>
  <w:style w:type="character" w:customStyle="1" w:styleId="ListLabel28">
    <w:name w:val="ListLabel 28"/>
    <w:qFormat/>
    <w:rsid w:val="0025343D"/>
    <w:rPr>
      <w:rFonts w:cs="Courier New"/>
    </w:rPr>
  </w:style>
  <w:style w:type="character" w:customStyle="1" w:styleId="ListLabel29">
    <w:name w:val="ListLabel 29"/>
    <w:qFormat/>
    <w:rsid w:val="0025343D"/>
    <w:rPr>
      <w:rFonts w:cs="Courier New"/>
    </w:rPr>
  </w:style>
  <w:style w:type="character" w:customStyle="1" w:styleId="ListLabel30">
    <w:name w:val="ListLabel 30"/>
    <w:qFormat/>
    <w:rsid w:val="0025343D"/>
    <w:rPr>
      <w:rFonts w:cs="Courier New"/>
    </w:rPr>
  </w:style>
  <w:style w:type="character" w:customStyle="1" w:styleId="ListLabel31">
    <w:name w:val="ListLabel 31"/>
    <w:qFormat/>
    <w:rsid w:val="0025343D"/>
    <w:rPr>
      <w:rFonts w:cs="Courier New"/>
    </w:rPr>
  </w:style>
  <w:style w:type="character" w:customStyle="1" w:styleId="ListLabel32">
    <w:name w:val="ListLabel 32"/>
    <w:qFormat/>
    <w:rsid w:val="0025343D"/>
    <w:rPr>
      <w:rFonts w:cs="Courier New"/>
    </w:rPr>
  </w:style>
  <w:style w:type="character" w:customStyle="1" w:styleId="ListLabel33">
    <w:name w:val="ListLabel 33"/>
    <w:qFormat/>
    <w:rsid w:val="0025343D"/>
    <w:rPr>
      <w:rFonts w:cs="Courier New"/>
    </w:rPr>
  </w:style>
  <w:style w:type="character" w:customStyle="1" w:styleId="ListLabel34">
    <w:name w:val="ListLabel 34"/>
    <w:qFormat/>
    <w:rsid w:val="0025343D"/>
    <w:rPr>
      <w:rFonts w:cs="Courier New"/>
    </w:rPr>
  </w:style>
  <w:style w:type="character" w:customStyle="1" w:styleId="ListLabel35">
    <w:name w:val="ListLabel 35"/>
    <w:qFormat/>
    <w:rsid w:val="0025343D"/>
    <w:rPr>
      <w:rFonts w:cs="Courier New"/>
    </w:rPr>
  </w:style>
  <w:style w:type="character" w:customStyle="1" w:styleId="ListLabel36">
    <w:name w:val="ListLabel 36"/>
    <w:qFormat/>
    <w:rsid w:val="0025343D"/>
    <w:rPr>
      <w:rFonts w:cs="Courier New"/>
      <w:b/>
      <w:sz w:val="24"/>
    </w:rPr>
  </w:style>
  <w:style w:type="character" w:customStyle="1" w:styleId="ListLabel37">
    <w:name w:val="ListLabel 37"/>
    <w:qFormat/>
    <w:rsid w:val="0025343D"/>
    <w:rPr>
      <w:rFonts w:cs="Courier New"/>
    </w:rPr>
  </w:style>
  <w:style w:type="character" w:customStyle="1" w:styleId="ListLabel38">
    <w:name w:val="ListLabel 38"/>
    <w:qFormat/>
    <w:rsid w:val="0025343D"/>
    <w:rPr>
      <w:rFonts w:cs="Courier New"/>
    </w:rPr>
  </w:style>
  <w:style w:type="character" w:customStyle="1" w:styleId="ListLabel39">
    <w:name w:val="ListLabel 39"/>
    <w:qFormat/>
    <w:rsid w:val="0025343D"/>
    <w:rPr>
      <w:rFonts w:cs="Courier New"/>
    </w:rPr>
  </w:style>
  <w:style w:type="character" w:customStyle="1" w:styleId="af3">
    <w:name w:val="Ссылка указателя"/>
    <w:qFormat/>
    <w:rsid w:val="0025343D"/>
  </w:style>
  <w:style w:type="paragraph" w:customStyle="1" w:styleId="13">
    <w:name w:val="Заголовок1"/>
    <w:basedOn w:val="a"/>
    <w:next w:val="af4"/>
    <w:qFormat/>
    <w:rsid w:val="002534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25343D"/>
    <w:pPr>
      <w:spacing w:after="140" w:line="288" w:lineRule="auto"/>
    </w:pPr>
  </w:style>
  <w:style w:type="paragraph" w:styleId="af5">
    <w:name w:val="List"/>
    <w:basedOn w:val="af4"/>
    <w:rsid w:val="0025343D"/>
    <w:rPr>
      <w:rFonts w:cs="Mangal"/>
    </w:rPr>
  </w:style>
  <w:style w:type="paragraph" w:styleId="af6">
    <w:name w:val="caption"/>
    <w:basedOn w:val="a"/>
    <w:qFormat/>
    <w:rsid w:val="0025343D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rsid w:val="0025343D"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5">
    <w:name w:val="Содержимое врезки"/>
    <w:basedOn w:val="a"/>
    <w:qFormat/>
    <w:rsid w:val="0025343D"/>
  </w:style>
  <w:style w:type="table" w:styleId="aff6">
    <w:name w:val="Table Grid"/>
    <w:basedOn w:val="a2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qFormat/>
    <w:rsid w:val="0025343D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unhideWhenUsed/>
    <w:rsid w:val="0025343D"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AF4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F4139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images\16_7acab540-716b-4a4b-ac37-a3a21fd7d029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4E47-A4CB-4138-9CE9-8AE623CC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8525</Words>
  <Characters>48594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Compile</dc:creator>
  <dc:description/>
  <cp:lastModifiedBy>Константин Константинович Мясников</cp:lastModifiedBy>
  <cp:revision>13</cp:revision>
  <cp:lastPrinted>2017-05-04T07:03:00Z</cp:lastPrinted>
  <dcterms:created xsi:type="dcterms:W3CDTF">2017-04-17T09:40:00Z</dcterms:created>
  <dcterms:modified xsi:type="dcterms:W3CDTF">2017-05-04T07:24:00Z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