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B7062" w:rsidP="005F668D">
      <w:pPr>
        <w:pStyle w:val="aff5"/>
      </w:pPr>
      <w:bookmarkStart w:id="0" w:name="_GoBack"/>
      <w:bookmarkEnd w:id="0"/>
      <w:r>
        <w:rPr>
          <w:noProof/>
          <w:lang w:eastAsia="ru-RU"/>
        </w:rPr>
        <w:pict>
          <v:rect id="_x0000_s1026" style="position:absolute;margin-left:-63.3pt;margin-top:-34.95pt;width:551.25pt;height:664.5pt;z-index:-48653919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 fillcolor="white [3212]" stroked="f"/>
        </w:pict>
      </w:r>
      <w:r>
        <w:rPr>
          <w:noProof/>
          <w:lang w:eastAsia="ru-RU"/>
        </w:rPr>
        <w:pict>
          <v:rect id="Прямоугольник 3" o:spid="_x0000_s1028" style="position:absolute;margin-left:0;margin-top:-81.6pt;width:598.55pt;height:867.8pt;z-index:-503316478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 fillcolor="#0b595d" stroked="f" strokeweight="1pt">
            <v:fill opacity="6682f"/>
            <w10:wrap anchorx="page"/>
          </v:rect>
        </w:pict>
      </w:r>
      <w:r w:rsidR="00CB6FFD">
        <w:rPr>
          <w:noProof/>
          <w:lang w:eastAsia="ru-RU"/>
        </w:rPr>
        <w:drawing>
          <wp:anchor distT="0" distB="0" distL="114300" distR="114300" simplePos="0" relativeHeight="10066370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RDefault="00187BA3" w:rsidP="002F7719"/>
    <w:p w:rsidR="00187BA3" w:rsidRDefault="00187BA3" w:rsidP="002F7719">
      <w:pPr>
        <w:pStyle w:val="afc"/>
      </w:pP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</w:p>
    <w:p w:rsidR="0036727F" w:rsidRDefault="0036727F" w:rsidP="005F668D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5"/>
      </w:tblGrid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>
        <w:trPr>
          <w:trHeight w:val="190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Язва роговицы трофическая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H16.0</w:t>
            </w:r>
          </w:p>
        </w:tc>
      </w:tr>
      <w:tr w:rsidR="0036727F" w:rsidTr="00B8507B">
        <w:trPr>
          <w:trHeight w:val="82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дети, взрослые</w:t>
            </w:r>
          </w:p>
        </w:tc>
      </w:tr>
      <w:tr w:rsidR="0036727F" w:rsidTr="00B8507B">
        <w:trPr>
          <w:trHeight w:val="890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КР99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2017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>
        <w:trPr>
          <w:trHeight w:val="4170"/>
        </w:trPr>
        <w:tc>
          <w:tcPr>
            <w:tcW w:w="9525" w:type="dxa"/>
          </w:tcPr>
          <w:p w:rsidR="0036727F" w:rsidRPr="005F668D" w:rsidRDefault="0036727F" w:rsidP="00CB71DA">
            <w:pPr>
              <w:pStyle w:val="aff5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Общероссийская общественная организация «Ассоциация врачей-офтальмологов»</w:t>
            </w:r>
          </w:p>
        </w:tc>
      </w:tr>
      <w:tr w:rsidR="00B8507B" w:rsidTr="00B8507B">
        <w:trPr>
          <w:trHeight w:val="1560"/>
        </w:trPr>
        <w:tc>
          <w:tcPr>
            <w:tcW w:w="9525" w:type="dxa"/>
          </w:tcPr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В.В. </w:t>
            </w:r>
            <w:proofErr w:type="spellStart"/>
            <w:r w:rsidRPr="005F668D">
              <w:rPr>
                <w:color w:val="000000"/>
              </w:rPr>
              <w:t>Нероев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детский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Л.А. </w:t>
            </w:r>
            <w:proofErr w:type="spellStart"/>
            <w:r w:rsidRPr="005F668D">
              <w:rPr>
                <w:color w:val="000000"/>
              </w:rPr>
              <w:t>Катаргина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</w:tc>
      </w:tr>
    </w:tbl>
    <w:p w:rsidR="0036727F" w:rsidRDefault="005B7062" w:rsidP="005F668D">
      <w:pPr>
        <w:tabs>
          <w:tab w:val="left" w:pos="6135"/>
        </w:tabs>
        <w:rPr>
          <w:sz w:val="28"/>
          <w:szCs w:val="28"/>
        </w:rPr>
      </w:pPr>
      <w:r w:rsidRPr="005B7062">
        <w:rPr>
          <w:noProof/>
          <w:lang w:eastAsia="ru-RU"/>
        </w:rPr>
        <w:pict>
          <v:rect id="Прямоугольник 4" o:spid="_x0000_s1027" style="position:absolute;margin-left:0;margin-top:499.8pt;width:551.25pt;height:117.75pt;z-index:-251657216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 fillcolor="white [3212]" stroked="f">
            <w10:wrap anchorx="page"/>
          </v:rect>
        </w:pict>
      </w:r>
    </w:p>
    <w:p w:rsidR="003A5FFA" w:rsidRDefault="00CB71DA">
      <w:r>
        <w:br w:type="page"/>
      </w:r>
      <w:sdt>
        <w:sdtPr>
          <w:id w:val="1526977811"/>
          <w:docPartObj>
            <w:docPartGallery w:val="Table of Contents"/>
            <w:docPartUnique/>
          </w:docPartObj>
        </w:sdtPr>
        <w:sdtEndPr>
          <w:rPr>
            <w:rFonts w:asciiTheme="minorHAnsi" w:hAnsiTheme="minorHAnsi"/>
            <w:b/>
            <w:bCs/>
            <w:noProof/>
            <w:sz w:val="22"/>
          </w:rPr>
        </w:sdtEndPr>
        <w:sdtContent>
          <w:r>
            <w:t>Оглавление</w:t>
          </w:r>
        </w:sdtContent>
      </w:sdt>
    </w:p>
    <w:p w:rsidR="003A5FFA" w:rsidRDefault="005B7062">
      <w:pPr>
        <w:tabs>
          <w:tab w:val="right" w:leader="dot" w:pos="9345"/>
        </w:tabs>
        <w:rPr>
          <w:noProof/>
        </w:rPr>
      </w:pPr>
      <w:r w:rsidRPr="005B7062">
        <w:fldChar w:fldCharType="begin"/>
      </w:r>
      <w:r w:rsidR="00CB71DA">
        <w:instrText xml:space="preserve"> TOC \o "1-3" \h \z \u </w:instrText>
      </w:r>
      <w:r w:rsidRPr="005B7062">
        <w:fldChar w:fldCharType="separate"/>
      </w:r>
      <w:hyperlink w:anchor="__RefHeading___doc_key_words" w:history="1">
        <w:r w:rsidR="00CB71DA" w:rsidRPr="00932A4F">
          <w:rPr>
            <w:noProof/>
            <w:lang w:val="en-US"/>
          </w:rPr>
          <w:t>Ключевые слова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__RefHeading___doc_key_words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abbreviation" w:history="1">
        <w:r w:rsidR="00CB71DA" w:rsidRPr="00932A4F">
          <w:rPr>
            <w:noProof/>
            <w:lang w:val="en-US"/>
          </w:rPr>
          <w:t>Список сокращений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__RefHeading___doc_abbreviation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terms" w:history="1">
        <w:r w:rsidR="00CB71DA" w:rsidRPr="00932A4F">
          <w:rPr>
            <w:noProof/>
            <w:lang w:val="en-US"/>
          </w:rPr>
          <w:t>Термины и определения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__RefHeading___doc_terms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1" w:history="1">
        <w:r w:rsidR="00CB71DA" w:rsidRPr="00932A4F">
          <w:rPr>
            <w:noProof/>
            <w:lang w:val="en-US"/>
          </w:rPr>
          <w:t>1. Краткая информация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2" w:history="1">
        <w:r w:rsidR="00CB71DA" w:rsidRPr="00932A4F">
          <w:rPr>
            <w:noProof/>
            <w:lang w:val="en-US"/>
          </w:rPr>
          <w:t>2. Диагностика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3" w:history="1">
        <w:r w:rsidR="00CB71DA" w:rsidRPr="00932A4F">
          <w:rPr>
            <w:noProof/>
            <w:lang w:val="en-US"/>
          </w:rPr>
          <w:t>3. Лечение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4" w:history="1">
        <w:r w:rsidR="00CB71DA" w:rsidRPr="00932A4F">
          <w:rPr>
            <w:noProof/>
            <w:lang w:val="en-US"/>
          </w:rPr>
          <w:t>4. Реабилитация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5" w:history="1">
        <w:r w:rsidR="00CB71DA" w:rsidRPr="00932A4F">
          <w:rPr>
            <w:noProof/>
            <w:lang w:val="en-US"/>
          </w:rPr>
          <w:t>5. Профилактика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6" w:history="1">
        <w:r w:rsidR="00CB71DA" w:rsidRPr="00932A4F">
          <w:rPr>
            <w:noProof/>
            <w:lang w:val="en-US"/>
          </w:rPr>
          <w:t>6. Дополнительная информация, влияющая на течение и исход заболевания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criteria" w:history="1">
        <w:r w:rsidR="00CB71DA" w:rsidRPr="00932A4F">
          <w:rPr>
            <w:noProof/>
            <w:lang w:val="en-US"/>
          </w:rPr>
          <w:t>Критерии оценки качества медицинской помощи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__RefHeading___doc_criteria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bible" w:history="1">
        <w:r w:rsidR="00CB71DA" w:rsidRPr="00932A4F">
          <w:rPr>
            <w:noProof/>
            <w:lang w:val="en-US"/>
          </w:rPr>
          <w:t>Список литературы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__RefHeading___doc_bible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a1" w:history="1">
        <w:r w:rsidR="00CB71DA" w:rsidRPr="00932A4F">
          <w:rPr>
            <w:noProof/>
            <w:lang w:val="en-US"/>
          </w:rPr>
          <w:t>Приложение А1. Состав рабочей группы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__RefHeading___doc_a1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a2" w:history="1">
        <w:r w:rsidR="00CB71DA" w:rsidRPr="00932A4F">
          <w:rPr>
            <w:noProof/>
            <w:lang w:val="en-US"/>
          </w:rPr>
          <w:t>Приложение А2. Методология разработки клинических рекомендаций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__RefHeading___doc_a2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a3" w:history="1">
        <w:r w:rsidR="00CB71DA" w:rsidRPr="00932A4F">
          <w:rPr>
            <w:noProof/>
            <w:lang w:val="en-US"/>
          </w:rPr>
          <w:t>Приложение А3. Связанные документы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__RefHeading___doc_a3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b" w:history="1">
        <w:r w:rsidR="00CB71DA" w:rsidRPr="00932A4F">
          <w:rPr>
            <w:noProof/>
            <w:lang w:val="en-US"/>
          </w:rPr>
          <w:t>Приложение Б. Алгоритмы ведения пациента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__RefHeading___doc_b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v" w:history="1">
        <w:r w:rsidR="00CB71DA" w:rsidRPr="00932A4F">
          <w:rPr>
            <w:noProof/>
            <w:lang w:val="en-US"/>
          </w:rPr>
          <w:t>Приложение В. Информация для пациентов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__RefHeading___doc_v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A5FFA" w:rsidRDefault="005B7062">
      <w:pPr>
        <w:tabs>
          <w:tab w:val="right" w:leader="dot" w:pos="9345"/>
        </w:tabs>
        <w:rPr>
          <w:noProof/>
        </w:rPr>
      </w:pPr>
      <w:hyperlink w:anchor="__RefHeading___doc_g" w:history="1">
        <w:r w:rsidR="00CB71DA" w:rsidRPr="00932A4F">
          <w:rPr>
            <w:noProof/>
            <w:lang w:val="en-US"/>
          </w:rPr>
          <w:t>Приложение Г.</w:t>
        </w:r>
        <w:r w:rsidR="00CB71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B71DA">
          <w:rPr>
            <w:noProof/>
            <w:webHidden/>
          </w:rPr>
          <w:instrText xml:space="preserve"> PAGEREF __RefHeading___doc_g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3CD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FFA" w:rsidRDefault="005B7062">
      <w:r>
        <w:rPr>
          <w:b/>
          <w:bCs/>
          <w:noProof/>
        </w:rPr>
        <w:fldChar w:fldCharType="end"/>
      </w:r>
    </w:p>
    <w:p w:rsidR="000414F6" w:rsidRDefault="00CB71DA">
      <w:pPr>
        <w:jc w:val="center"/>
      </w:pPr>
      <w:r>
        <w:br w:type="page"/>
      </w:r>
      <w:bookmarkStart w:id="1" w:name="__RefHeading___doc_key_words"/>
      <w:r>
        <w:rPr>
          <w:b/>
          <w:sz w:val="28"/>
          <w:szCs w:val="28"/>
        </w:rPr>
        <w:lastRenderedPageBreak/>
        <w:t>Ключевые слова</w:t>
      </w:r>
      <w:bookmarkEnd w:id="1"/>
    </w:p>
    <w:p w:rsidR="00275A41" w:rsidRDefault="00CB71DA" w:rsidP="00CB71DA">
      <w:pPr>
        <w:numPr>
          <w:ilvl w:val="0"/>
          <w:numId w:val="3"/>
        </w:numPr>
        <w:spacing w:before="100" w:beforeAutospacing="1" w:after="100" w:afterAutospacing="1" w:line="240" w:lineRule="auto"/>
        <w:divId w:val="1243374241"/>
        <w:rPr>
          <w:rFonts w:eastAsia="Times New Roman"/>
          <w:szCs w:val="24"/>
        </w:rPr>
      </w:pPr>
      <w:r>
        <w:rPr>
          <w:rFonts w:eastAsia="Times New Roman"/>
        </w:rPr>
        <w:t>трофическая язва роговицы</w:t>
      </w:r>
    </w:p>
    <w:p w:rsidR="00275A41" w:rsidRDefault="00CB71DA" w:rsidP="00CB71DA">
      <w:pPr>
        <w:numPr>
          <w:ilvl w:val="0"/>
          <w:numId w:val="3"/>
        </w:numPr>
        <w:spacing w:before="100" w:beforeAutospacing="1" w:after="100" w:afterAutospacing="1" w:line="240" w:lineRule="auto"/>
        <w:divId w:val="1243374241"/>
        <w:rPr>
          <w:rFonts w:eastAsia="Times New Roman"/>
        </w:rPr>
      </w:pPr>
      <w:proofErr w:type="spellStart"/>
      <w:r>
        <w:rPr>
          <w:rFonts w:eastAsia="Times New Roman"/>
        </w:rPr>
        <w:t>роговичная</w:t>
      </w:r>
      <w:proofErr w:type="spellEnd"/>
      <w:r>
        <w:rPr>
          <w:rFonts w:eastAsia="Times New Roman"/>
        </w:rPr>
        <w:t xml:space="preserve"> слепота</w:t>
      </w:r>
    </w:p>
    <w:p w:rsidR="00275A41" w:rsidRDefault="00CB71DA" w:rsidP="00CB71DA">
      <w:pPr>
        <w:numPr>
          <w:ilvl w:val="0"/>
          <w:numId w:val="3"/>
        </w:numPr>
        <w:spacing w:before="100" w:beforeAutospacing="1" w:after="100" w:afterAutospacing="1" w:line="240" w:lineRule="auto"/>
        <w:divId w:val="1243374241"/>
        <w:rPr>
          <w:rFonts w:eastAsia="Times New Roman"/>
        </w:rPr>
      </w:pPr>
      <w:r>
        <w:rPr>
          <w:rFonts w:eastAsia="Times New Roman"/>
        </w:rPr>
        <w:t>синдром сухого глаза</w:t>
      </w:r>
    </w:p>
    <w:p w:rsidR="000414F6" w:rsidRDefault="00CB71DA">
      <w:pPr>
        <w:jc w:val="center"/>
      </w:pPr>
      <w:r>
        <w:br w:type="page"/>
      </w:r>
      <w:bookmarkStart w:id="2" w:name="__RefHeading___doc_abbreviation"/>
      <w:r>
        <w:rPr>
          <w:b/>
          <w:sz w:val="28"/>
          <w:szCs w:val="28"/>
        </w:rPr>
        <w:lastRenderedPageBreak/>
        <w:t>Список сокращений</w:t>
      </w:r>
      <w:bookmarkEnd w:id="2"/>
    </w:p>
    <w:p w:rsidR="00275A41" w:rsidRDefault="00CB71DA">
      <w:pPr>
        <w:pStyle w:val="afa"/>
        <w:divId w:val="1653948401"/>
      </w:pPr>
      <w:r>
        <w:t>МКБ 10 - международная классификация болезней 10-го пересмотра</w:t>
      </w:r>
    </w:p>
    <w:p w:rsidR="00275A41" w:rsidRDefault="00CB71DA">
      <w:pPr>
        <w:pStyle w:val="afa"/>
        <w:divId w:val="1653948401"/>
      </w:pPr>
      <w:r>
        <w:t>АВК – аденовирусный конъюнктивит</w:t>
      </w:r>
    </w:p>
    <w:p w:rsidR="000414F6" w:rsidRDefault="00CB71DA">
      <w:pPr>
        <w:jc w:val="center"/>
      </w:pPr>
      <w:r>
        <w:br w:type="page"/>
      </w:r>
      <w:bookmarkStart w:id="3" w:name="__RefHeading___doc_terms"/>
      <w:r>
        <w:rPr>
          <w:b/>
          <w:sz w:val="28"/>
          <w:szCs w:val="28"/>
        </w:rPr>
        <w:lastRenderedPageBreak/>
        <w:t>Термины и определения</w:t>
      </w:r>
      <w:bookmarkEnd w:id="3"/>
    </w:p>
    <w:p w:rsidR="00275A41" w:rsidRDefault="00CB71DA">
      <w:pPr>
        <w:pStyle w:val="afa"/>
        <w:divId w:val="576134796"/>
      </w:pPr>
      <w:r>
        <w:t>                                   </w:t>
      </w:r>
    </w:p>
    <w:p w:rsidR="000414F6" w:rsidRDefault="00CB71DA">
      <w:pPr>
        <w:jc w:val="center"/>
      </w:pPr>
      <w:r>
        <w:br w:type="page"/>
      </w:r>
      <w:bookmarkStart w:id="4" w:name="__RefHeading___doc_1"/>
      <w:r>
        <w:rPr>
          <w:b/>
          <w:sz w:val="28"/>
          <w:szCs w:val="28"/>
        </w:rPr>
        <w:lastRenderedPageBreak/>
        <w:t>1. Краткая информация</w:t>
      </w:r>
      <w:bookmarkEnd w:id="4"/>
    </w:p>
    <w:p w:rsidR="00275A41" w:rsidRDefault="00CB71DA">
      <w:pPr>
        <w:pStyle w:val="2"/>
        <w:divId w:val="1892956598"/>
        <w:rPr>
          <w:rFonts w:eastAsia="Times New Roman"/>
          <w:sz w:val="36"/>
          <w:szCs w:val="36"/>
        </w:rPr>
      </w:pPr>
      <w:bookmarkStart w:id="5" w:name="_Toc469402330"/>
      <w:bookmarkStart w:id="6" w:name="_Toc468273527"/>
      <w:bookmarkStart w:id="7" w:name="_Toc468273445"/>
      <w:bookmarkEnd w:id="5"/>
      <w:bookmarkEnd w:id="6"/>
      <w:bookmarkEnd w:id="7"/>
      <w:r>
        <w:rPr>
          <w:rFonts w:eastAsia="Times New Roman"/>
        </w:rPr>
        <w:t>1.1 Определение</w:t>
      </w:r>
    </w:p>
    <w:p w:rsidR="00275A41" w:rsidRDefault="00CB71DA">
      <w:pPr>
        <w:pStyle w:val="afa"/>
        <w:divId w:val="1892956598"/>
        <w:rPr>
          <w:rFonts w:eastAsiaTheme="minorEastAsia"/>
        </w:rPr>
      </w:pPr>
      <w:r>
        <w:rPr>
          <w:rStyle w:val="aff8"/>
        </w:rPr>
        <w:t>Язва роговицы</w:t>
      </w:r>
      <w:r>
        <w:t xml:space="preserve"> относится к разряду тяжелых глазных заболеваний, трудно поддающихся лечению и почти всегда заканчивающихся нарушением зрения, вплоть до слепоты.</w:t>
      </w:r>
    </w:p>
    <w:p w:rsidR="00275A41" w:rsidRDefault="00CB71DA">
      <w:pPr>
        <w:pStyle w:val="afa"/>
        <w:divId w:val="1892956598"/>
      </w:pPr>
      <w:r>
        <w:t>Изъязвление может захватывать любую часть роговицы, но поражение центральной зоны протекает тяжелее, труднее лечится, а рубцевание в этой области всегда приводит к потере зрения.                                           </w:t>
      </w:r>
    </w:p>
    <w:p w:rsidR="00275A41" w:rsidRDefault="00CB71DA">
      <w:pPr>
        <w:pStyle w:val="afa"/>
        <w:divId w:val="1892956598"/>
      </w:pPr>
      <w:r>
        <w:t xml:space="preserve">«Чистые» трофические язвы роговицы встречаются достаточно часто. Возвращаясь к данным мониторинга эпидемиологической ситуации по проблеме </w:t>
      </w:r>
      <w:proofErr w:type="spellStart"/>
      <w:r>
        <w:t>роговичной</w:t>
      </w:r>
      <w:proofErr w:type="spellEnd"/>
      <w:r>
        <w:t xml:space="preserve"> слепоты в 51 регионе РФ, по нозологии рубцы и помутнения роговицы составляют 21%, 6% на первичные и вторичные  дистрофии роговицы. По аналитическим данным Отдела инфекционных и аллергических заболеваний глаз МНИИ ГБ им. Гельмгольца за период с 2000 по 2012 год язвенные процессы развивались на фоне дистрофических изменений тканей переднего отдела глаза, таких как синдром сухого глаза и первичная или вторичная дистрофия роговицы у 19% пациентов.</w:t>
      </w:r>
    </w:p>
    <w:p w:rsidR="00275A41" w:rsidRDefault="00CB71DA">
      <w:pPr>
        <w:pStyle w:val="2"/>
        <w:divId w:val="1892956598"/>
        <w:rPr>
          <w:rFonts w:eastAsia="Times New Roman"/>
        </w:rPr>
      </w:pPr>
      <w:bookmarkStart w:id="8" w:name="_Toc468273528"/>
      <w:bookmarkStart w:id="9" w:name="_Toc468273446"/>
      <w:bookmarkStart w:id="10" w:name="_Toc469402331"/>
      <w:bookmarkEnd w:id="8"/>
      <w:bookmarkEnd w:id="9"/>
      <w:bookmarkEnd w:id="10"/>
      <w:r>
        <w:rPr>
          <w:rFonts w:eastAsia="Times New Roman"/>
        </w:rPr>
        <w:t>1.2 Этиология и патогенез</w:t>
      </w:r>
    </w:p>
    <w:p w:rsidR="00275A41" w:rsidRDefault="00CB71DA">
      <w:pPr>
        <w:pStyle w:val="afa"/>
        <w:divId w:val="1892956598"/>
        <w:rPr>
          <w:rFonts w:eastAsiaTheme="minorEastAsia"/>
        </w:rPr>
      </w:pPr>
      <w:r>
        <w:t xml:space="preserve">Развитие трофической язвы роговицы – </w:t>
      </w:r>
      <w:proofErr w:type="spellStart"/>
      <w:r>
        <w:t>полиэтиологический</w:t>
      </w:r>
      <w:proofErr w:type="spellEnd"/>
      <w:r>
        <w:t xml:space="preserve"> процесс, включающий в себя нарушение </w:t>
      </w:r>
      <w:proofErr w:type="spellStart"/>
      <w:r>
        <w:t>слезопродукции</w:t>
      </w:r>
      <w:proofErr w:type="spellEnd"/>
      <w:r>
        <w:t xml:space="preserve">, формирование нестабильной слезной пленки, снижение ее защитных и питательных функций, нарушение иннервации и </w:t>
      </w:r>
      <w:proofErr w:type="spellStart"/>
      <w:r>
        <w:t>репаративной</w:t>
      </w:r>
      <w:proofErr w:type="spellEnd"/>
      <w:r>
        <w:t xml:space="preserve"> функции тканей роговицы.</w:t>
      </w:r>
    </w:p>
    <w:p w:rsidR="00275A41" w:rsidRDefault="00CB71DA">
      <w:pPr>
        <w:pStyle w:val="afa"/>
        <w:divId w:val="1892956598"/>
      </w:pPr>
      <w:r>
        <w:t>Факторы риска, способствующие развитию трофических язв роговицы.</w:t>
      </w:r>
    </w:p>
    <w:p w:rsidR="00275A41" w:rsidRDefault="00CB71DA">
      <w:pPr>
        <w:pStyle w:val="afa"/>
        <w:divId w:val="1892956598"/>
      </w:pPr>
      <w:r>
        <w:rPr>
          <w:rStyle w:val="aff8"/>
        </w:rPr>
        <w:t xml:space="preserve">Экзогенные факторы: </w:t>
      </w:r>
    </w:p>
    <w:p w:rsidR="00275A41" w:rsidRDefault="00CB71DA">
      <w:pPr>
        <w:pStyle w:val="afa"/>
        <w:divId w:val="1892956598"/>
      </w:pPr>
      <w:r>
        <w:t>- Контактные линзы, особенно при длительном ношении и развитии вторичного «сухого глаза».</w:t>
      </w:r>
    </w:p>
    <w:p w:rsidR="00275A41" w:rsidRDefault="00CB71DA">
      <w:pPr>
        <w:pStyle w:val="afa"/>
        <w:divId w:val="1892956598"/>
      </w:pPr>
      <w:r>
        <w:t>- Травма роговицы, в том числе инородными телами, химическим, термическим и лучевым факторами.</w:t>
      </w:r>
    </w:p>
    <w:p w:rsidR="00275A41" w:rsidRDefault="00CB71DA">
      <w:pPr>
        <w:pStyle w:val="afa"/>
        <w:divId w:val="1892956598"/>
      </w:pPr>
      <w:r>
        <w:t>- Ранее выполненные хирургические вмешательства на роговице.</w:t>
      </w:r>
    </w:p>
    <w:p w:rsidR="00275A41" w:rsidRDefault="00CB71DA">
      <w:pPr>
        <w:pStyle w:val="afa"/>
        <w:divId w:val="1892956598"/>
      </w:pPr>
      <w:r>
        <w:t>- Перенесенные воспалительные заболевания переднего отдела глаза – АВК, герпетический кератит и другие.</w:t>
      </w:r>
    </w:p>
    <w:p w:rsidR="00275A41" w:rsidRDefault="00CB71DA">
      <w:pPr>
        <w:pStyle w:val="afa"/>
        <w:divId w:val="1892956598"/>
      </w:pPr>
      <w:r>
        <w:t>- Недостаток слезной жидкости, Синдром сухого глаза.</w:t>
      </w:r>
    </w:p>
    <w:p w:rsidR="00275A41" w:rsidRDefault="00CB71DA">
      <w:pPr>
        <w:pStyle w:val="afa"/>
        <w:divId w:val="1892956598"/>
      </w:pPr>
      <w:proofErr w:type="spellStart"/>
      <w:r>
        <w:rPr>
          <w:rStyle w:val="aff8"/>
        </w:rPr>
        <w:t>Роговичные</w:t>
      </w:r>
      <w:proofErr w:type="spellEnd"/>
      <w:r>
        <w:rPr>
          <w:rStyle w:val="aff8"/>
        </w:rPr>
        <w:t xml:space="preserve"> нарушения:</w:t>
      </w:r>
    </w:p>
    <w:p w:rsidR="00275A41" w:rsidRDefault="00CB71DA">
      <w:pPr>
        <w:pStyle w:val="afa"/>
        <w:divId w:val="1892956598"/>
      </w:pPr>
      <w:r>
        <w:lastRenderedPageBreak/>
        <w:t>- Понижение чувствительности роговицы.</w:t>
      </w:r>
    </w:p>
    <w:p w:rsidR="00275A41" w:rsidRDefault="00CB71DA">
      <w:pPr>
        <w:pStyle w:val="afa"/>
        <w:divId w:val="1892956598"/>
      </w:pPr>
      <w:r>
        <w:t>- Первичные и вторичные дистрофии роговицы.</w:t>
      </w:r>
    </w:p>
    <w:p w:rsidR="00275A41" w:rsidRDefault="00CB71DA">
      <w:pPr>
        <w:pStyle w:val="afa"/>
        <w:divId w:val="1892956598"/>
      </w:pPr>
      <w:r>
        <w:t xml:space="preserve">- Рецидивирующие эрозии и </w:t>
      </w:r>
      <w:proofErr w:type="spellStart"/>
      <w:r>
        <w:t>микроэрозии</w:t>
      </w:r>
      <w:proofErr w:type="spellEnd"/>
      <w:r>
        <w:t>.</w:t>
      </w:r>
    </w:p>
    <w:p w:rsidR="00275A41" w:rsidRDefault="00CB71DA">
      <w:pPr>
        <w:pStyle w:val="afa"/>
        <w:divId w:val="1892956598"/>
      </w:pPr>
      <w:r>
        <w:rPr>
          <w:rStyle w:val="aff8"/>
        </w:rPr>
        <w:t>Заболевания и аномалии функционирования век</w:t>
      </w:r>
      <w:r>
        <w:t>:</w:t>
      </w:r>
    </w:p>
    <w:p w:rsidR="00275A41" w:rsidRDefault="00CB71DA">
      <w:pPr>
        <w:pStyle w:val="afa"/>
        <w:divId w:val="1892956598"/>
      </w:pPr>
      <w:r>
        <w:t>- Врожденное и приобретенное не смыкание век.</w:t>
      </w:r>
    </w:p>
    <w:p w:rsidR="00275A41" w:rsidRDefault="00CB71DA">
      <w:pPr>
        <w:pStyle w:val="afa"/>
        <w:divId w:val="1892956598"/>
      </w:pPr>
      <w:r>
        <w:t>- Пластические операции на веках.</w:t>
      </w:r>
    </w:p>
    <w:p w:rsidR="00275A41" w:rsidRDefault="00CB71DA">
      <w:pPr>
        <w:pStyle w:val="afa"/>
        <w:divId w:val="1892956598"/>
      </w:pPr>
      <w:r>
        <w:t>- Синдром «ленивого века».</w:t>
      </w:r>
    </w:p>
    <w:p w:rsidR="00275A41" w:rsidRDefault="00CB71DA">
      <w:pPr>
        <w:pStyle w:val="afa"/>
        <w:divId w:val="1892956598"/>
      </w:pPr>
      <w:r>
        <w:t>- Хронические блефариты.</w:t>
      </w:r>
    </w:p>
    <w:p w:rsidR="00275A41" w:rsidRDefault="00CB71DA">
      <w:pPr>
        <w:pStyle w:val="afa"/>
        <w:divId w:val="1892956598"/>
      </w:pPr>
      <w:r>
        <w:t>- Рубцовые изменения век.</w:t>
      </w:r>
    </w:p>
    <w:p w:rsidR="00275A41" w:rsidRDefault="00CB71DA">
      <w:pPr>
        <w:pStyle w:val="afa"/>
        <w:divId w:val="1892956598"/>
      </w:pPr>
      <w:r>
        <w:t>- Хронический дакриоаденит.</w:t>
      </w:r>
    </w:p>
    <w:p w:rsidR="00275A41" w:rsidRDefault="00CB71DA">
      <w:pPr>
        <w:pStyle w:val="afa"/>
        <w:divId w:val="1892956598"/>
      </w:pPr>
      <w:r>
        <w:rPr>
          <w:rStyle w:val="aff8"/>
        </w:rPr>
        <w:t xml:space="preserve">Общие заболевания: </w:t>
      </w:r>
    </w:p>
    <w:p w:rsidR="00275A41" w:rsidRDefault="00CB71DA">
      <w:pPr>
        <w:pStyle w:val="afa"/>
        <w:divId w:val="1892956598"/>
      </w:pPr>
      <w:r>
        <w:t>- Поражение нервов III, V, VIII.</w:t>
      </w:r>
    </w:p>
    <w:p w:rsidR="00275A41" w:rsidRDefault="00CB71DA">
      <w:pPr>
        <w:pStyle w:val="afa"/>
        <w:divId w:val="1892956598"/>
      </w:pPr>
      <w:r>
        <w:t>- Состояния после ОНМК, черепно-мозговых травм.</w:t>
      </w:r>
    </w:p>
    <w:p w:rsidR="00275A41" w:rsidRDefault="00CB71DA">
      <w:pPr>
        <w:pStyle w:val="afa"/>
        <w:divId w:val="1892956598"/>
      </w:pPr>
      <w:r>
        <w:t>- Сахарный диабет.</w:t>
      </w:r>
    </w:p>
    <w:p w:rsidR="00275A41" w:rsidRDefault="00CB71DA">
      <w:pPr>
        <w:pStyle w:val="afa"/>
        <w:divId w:val="1892956598"/>
      </w:pPr>
      <w:r>
        <w:t>- Нарушение питания, заболевания, приводящие к истощению.</w:t>
      </w:r>
    </w:p>
    <w:p w:rsidR="00275A41" w:rsidRDefault="00CB71DA">
      <w:pPr>
        <w:pStyle w:val="afa"/>
        <w:divId w:val="1892956598"/>
      </w:pPr>
      <w:r>
        <w:t>- Заболевания иммунного генеза, в том числе болезни иммунодефицита.</w:t>
      </w:r>
    </w:p>
    <w:p w:rsidR="00275A41" w:rsidRDefault="00CB71DA">
      <w:pPr>
        <w:pStyle w:val="afa"/>
        <w:divId w:val="1892956598"/>
      </w:pPr>
      <w:r>
        <w:t xml:space="preserve">- </w:t>
      </w:r>
      <w:proofErr w:type="spellStart"/>
      <w:r>
        <w:t>Атопический</w:t>
      </w:r>
      <w:proofErr w:type="spellEnd"/>
      <w:r>
        <w:t xml:space="preserve"> дерматит и другие кожные заболевания.</w:t>
      </w:r>
    </w:p>
    <w:p w:rsidR="00275A41" w:rsidRDefault="00CB71DA">
      <w:pPr>
        <w:pStyle w:val="afa"/>
        <w:divId w:val="1892956598"/>
      </w:pPr>
      <w:r>
        <w:t>- Витаминная недостаточность (A, B</w:t>
      </w:r>
      <w:r>
        <w:rPr>
          <w:vertAlign w:val="subscript"/>
        </w:rPr>
        <w:t>12</w:t>
      </w:r>
      <w:r>
        <w:t xml:space="preserve"> и другие).</w:t>
      </w:r>
    </w:p>
    <w:p w:rsidR="00275A41" w:rsidRDefault="00CB71DA">
      <w:pPr>
        <w:pStyle w:val="afa"/>
        <w:divId w:val="1892956598"/>
      </w:pPr>
      <w:r>
        <w:t>- Общая и лучевая терапия при опухолях, трансплантации органов, системных иммунных заболеваниях.</w:t>
      </w:r>
    </w:p>
    <w:p w:rsidR="00275A41" w:rsidRDefault="00CB71DA">
      <w:pPr>
        <w:pStyle w:val="2"/>
        <w:divId w:val="1892956598"/>
        <w:rPr>
          <w:rFonts w:eastAsia="Times New Roman"/>
        </w:rPr>
      </w:pPr>
      <w:bookmarkStart w:id="11" w:name="_Toc469402332"/>
      <w:bookmarkEnd w:id="11"/>
      <w:r>
        <w:rPr>
          <w:rFonts w:eastAsia="Times New Roman"/>
        </w:rPr>
        <w:t>1.3 Эпидемиология</w:t>
      </w:r>
    </w:p>
    <w:p w:rsidR="00275A41" w:rsidRDefault="00CB71DA">
      <w:pPr>
        <w:pStyle w:val="afa"/>
        <w:divId w:val="1892956598"/>
        <w:rPr>
          <w:rFonts w:eastAsiaTheme="minorEastAsia"/>
        </w:rPr>
      </w:pPr>
      <w:r>
        <w:t xml:space="preserve">В России профилактика и снижение слепоты и, следовательно, инвалидности по зрению, является одной из социально-значимых проблем, в решении которой большую роль играет деятельность Целевых программ Российского национального комитета по предупреждению слепоты. Мониторинг эпидемиологической ситуации по проблеме </w:t>
      </w:r>
      <w:proofErr w:type="spellStart"/>
      <w:r>
        <w:t>роговичной</w:t>
      </w:r>
      <w:proofErr w:type="spellEnd"/>
      <w:r>
        <w:t xml:space="preserve"> слепоты в регионах России с последующей аналитической обработкой данных, полученных  от главных офтальмологов из </w:t>
      </w:r>
      <w:r>
        <w:rPr>
          <w:rStyle w:val="aff8"/>
        </w:rPr>
        <w:t>51</w:t>
      </w:r>
      <w:r>
        <w:t xml:space="preserve"> региона РФ, показал следующие </w:t>
      </w:r>
      <w:r>
        <w:lastRenderedPageBreak/>
        <w:t xml:space="preserve">результаты: </w:t>
      </w:r>
      <w:proofErr w:type="spellStart"/>
      <w:r>
        <w:t>роговичная</w:t>
      </w:r>
      <w:proofErr w:type="spellEnd"/>
      <w:r>
        <w:t xml:space="preserve"> слепота составляет </w:t>
      </w:r>
      <w:r>
        <w:rPr>
          <w:rStyle w:val="aff8"/>
        </w:rPr>
        <w:t>5,9%</w:t>
      </w:r>
      <w:r>
        <w:t xml:space="preserve"> всех слепых и слабовидящих России. По нозологии рубцы и помутнения роговицы составляют 21%,  9% приходится на язву роговицы и 6% на первичные и вторичные  дистрофии роговицы.</w:t>
      </w:r>
    </w:p>
    <w:p w:rsidR="00275A41" w:rsidRDefault="00CB71DA">
      <w:pPr>
        <w:pStyle w:val="2"/>
        <w:divId w:val="1892956598"/>
        <w:rPr>
          <w:rFonts w:eastAsia="Times New Roman"/>
        </w:rPr>
      </w:pPr>
      <w:bookmarkStart w:id="12" w:name="_Toc468273529"/>
      <w:bookmarkStart w:id="13" w:name="_Toc468273447"/>
      <w:bookmarkStart w:id="14" w:name="_Toc469402333"/>
      <w:bookmarkEnd w:id="12"/>
      <w:bookmarkEnd w:id="13"/>
      <w:bookmarkEnd w:id="14"/>
      <w:r>
        <w:rPr>
          <w:rFonts w:eastAsia="Times New Roman"/>
        </w:rPr>
        <w:t>1.4 Международная классификация болезней десятого пересмотра (МКБ-10)</w:t>
      </w:r>
    </w:p>
    <w:p w:rsidR="00275A41" w:rsidRDefault="00CB71DA">
      <w:pPr>
        <w:pStyle w:val="afa"/>
        <w:divId w:val="1892956598"/>
        <w:rPr>
          <w:rFonts w:eastAsiaTheme="minorEastAsia"/>
        </w:rPr>
      </w:pPr>
      <w:r>
        <w:t>H16.0 - Язва роговицы</w:t>
      </w:r>
    </w:p>
    <w:p w:rsidR="00275A41" w:rsidRDefault="00CB71DA">
      <w:pPr>
        <w:pStyle w:val="2"/>
        <w:divId w:val="1892956598"/>
        <w:rPr>
          <w:rFonts w:eastAsia="Times New Roman"/>
        </w:rPr>
      </w:pPr>
      <w:bookmarkStart w:id="15" w:name="_Toc469402334"/>
      <w:bookmarkStart w:id="16" w:name="_Toc469402051"/>
      <w:bookmarkEnd w:id="15"/>
      <w:bookmarkEnd w:id="16"/>
      <w:r>
        <w:rPr>
          <w:rFonts w:eastAsia="Times New Roman"/>
        </w:rPr>
        <w:t>1.5 Классификация трофических язв роговицы</w:t>
      </w:r>
    </w:p>
    <w:p w:rsidR="00275A41" w:rsidRDefault="00CB71DA">
      <w:pPr>
        <w:pStyle w:val="afa"/>
        <w:divId w:val="1892956598"/>
        <w:rPr>
          <w:rFonts w:eastAsiaTheme="minorEastAsia"/>
        </w:rPr>
      </w:pPr>
      <w:r>
        <w:t xml:space="preserve">Основываясь на клинических данных, язвы роговицы разделяют по тяжести течения на легкую, среднюю и тяжелую степени. При оценке степени тяжести </w:t>
      </w:r>
      <w:proofErr w:type="spellStart"/>
      <w:r>
        <w:t>роговичных</w:t>
      </w:r>
      <w:proofErr w:type="spellEnd"/>
      <w:r>
        <w:t xml:space="preserve"> проявлений учитывают глубину, площадь и степень выраженности инфильтрации роговицы, а также глубину и площадь изъязвления. Кроме того, оценивают степень тяжести </w:t>
      </w:r>
      <w:proofErr w:type="spellStart"/>
      <w:r>
        <w:t>увеальных</w:t>
      </w:r>
      <w:proofErr w:type="spellEnd"/>
      <w:r>
        <w:t xml:space="preserve"> явлений, учитывая наличие преципитатов на эндотелии, состояние влаги передней камеры и наличие фибрина.</w:t>
      </w:r>
    </w:p>
    <w:p w:rsidR="00275A41" w:rsidRDefault="00CB71DA">
      <w:pPr>
        <w:pStyle w:val="afa"/>
        <w:divId w:val="1892956598"/>
      </w:pPr>
      <w:r>
        <w:t xml:space="preserve">К </w:t>
      </w:r>
      <w:r>
        <w:rPr>
          <w:rStyle w:val="aff8"/>
        </w:rPr>
        <w:t xml:space="preserve">легкой </w:t>
      </w:r>
      <w:r>
        <w:t xml:space="preserve">степени тяжести относятся инфильтраты до 3 мм в диаметре, площадью изъязвления до 1/4 площади роговицы и глубиной изъязвления не более 1/3 толщины стромы роговицы. К </w:t>
      </w:r>
      <w:r>
        <w:rPr>
          <w:rStyle w:val="aff8"/>
        </w:rPr>
        <w:t>средней</w:t>
      </w:r>
      <w:r>
        <w:t xml:space="preserve"> степень тяжести относят инфильтраты от 3 до 5 мм в диаметре, с изъязвлением от 1/4 до 1/2  площади роговицы и глубиной не более 2/3 толщины стромы роговицы. К </w:t>
      </w:r>
      <w:r>
        <w:rPr>
          <w:rStyle w:val="aff8"/>
        </w:rPr>
        <w:t>тяжелой</w:t>
      </w:r>
      <w:r>
        <w:t xml:space="preserve"> степени относят инфильтраты более 5 мм в диаметре, с изъязвлением более 1/2  площади роговицы, глубиной более 2/3 толщины стромы роговицы.</w:t>
      </w:r>
    </w:p>
    <w:p w:rsidR="00275A41" w:rsidRDefault="00CB71DA">
      <w:pPr>
        <w:pStyle w:val="afa"/>
        <w:divId w:val="1892956598"/>
      </w:pPr>
      <w:proofErr w:type="spellStart"/>
      <w:r>
        <w:t>Увеальные</w:t>
      </w:r>
      <w:proofErr w:type="spellEnd"/>
      <w:r>
        <w:t xml:space="preserve"> явления также разделяют по степени тяжести на </w:t>
      </w:r>
      <w:proofErr w:type="gramStart"/>
      <w:r>
        <w:t>легкую</w:t>
      </w:r>
      <w:proofErr w:type="gramEnd"/>
      <w:r>
        <w:t xml:space="preserve"> – при наличии небольшой опалесценции влаги передней камеры или единичных преципитатов, среднюю – при наличии мутной влаги передней камеры или большом количестве преципитатов, и тяжелую – при наличии фибрина в передней камере.</w:t>
      </w:r>
    </w:p>
    <w:p w:rsidR="00275A41" w:rsidRDefault="00CB71DA">
      <w:pPr>
        <w:pStyle w:val="afa"/>
        <w:divId w:val="1892956598"/>
      </w:pPr>
      <w:r>
        <w:t xml:space="preserve">Трофические язвы роговицы можно разделить на «чистые» и осложненные бактериальной флорой. Осложненные язвы роговицы приобретают статус </w:t>
      </w:r>
      <w:proofErr w:type="gramStart"/>
      <w:r>
        <w:t>бактериальных</w:t>
      </w:r>
      <w:proofErr w:type="gramEnd"/>
      <w:r>
        <w:t xml:space="preserve"> и их алгоритм терапии соответствует Федеральным рекомендациям по терапии бактериальных язв роговицы.</w:t>
      </w:r>
    </w:p>
    <w:p w:rsidR="00021FEA" w:rsidRPr="00992D0A" w:rsidRDefault="00021FEA" w:rsidP="00021FEA">
      <w:pPr>
        <w:pStyle w:val="2"/>
        <w:divId w:val="1892956598"/>
        <w:rPr>
          <w:b w:val="0"/>
          <w:i/>
        </w:rPr>
      </w:pPr>
      <w:bookmarkStart w:id="17" w:name="_Toc481757731"/>
      <w:r w:rsidRPr="00992D0A">
        <w:t>1.6 Клиническая картина</w:t>
      </w:r>
      <w:bookmarkEnd w:id="17"/>
    </w:p>
    <w:p w:rsidR="00021FEA" w:rsidRDefault="00021FEA" w:rsidP="00021FEA">
      <w:pPr>
        <w:tabs>
          <w:tab w:val="left" w:pos="-540"/>
        </w:tabs>
        <w:ind w:firstLine="540"/>
        <w:divId w:val="1892956598"/>
      </w:pPr>
      <w:proofErr w:type="gramStart"/>
      <w:r w:rsidRPr="003346D4">
        <w:t xml:space="preserve">При развитии трофической язвы роговицы обращает на себя внимание относительно спокойное состояние конъюнктивы, умеренное ее раздражение, отек </w:t>
      </w:r>
      <w:proofErr w:type="spellStart"/>
      <w:r w:rsidRPr="003346D4">
        <w:t>бульбарной</w:t>
      </w:r>
      <w:proofErr w:type="spellEnd"/>
      <w:r w:rsidRPr="003346D4">
        <w:t xml:space="preserve"> конъюнктивы от легкого до выраженного, возможна перикорнеальная инъекция легкой степени.</w:t>
      </w:r>
      <w:proofErr w:type="gramEnd"/>
      <w:r w:rsidRPr="003346D4">
        <w:t xml:space="preserve"> Язвенный дефект обычно имеет четкие границы, нередко с </w:t>
      </w:r>
      <w:proofErr w:type="spellStart"/>
      <w:r w:rsidRPr="003346D4">
        <w:t>ксеротическими</w:t>
      </w:r>
      <w:proofErr w:type="spellEnd"/>
      <w:r w:rsidRPr="003346D4">
        <w:t xml:space="preserve"> изменениями по краям, язвенная поверхность чистая, </w:t>
      </w:r>
      <w:proofErr w:type="spellStart"/>
      <w:r w:rsidRPr="003346D4">
        <w:t>перифокально</w:t>
      </w:r>
      <w:proofErr w:type="spellEnd"/>
      <w:r w:rsidRPr="003346D4">
        <w:t xml:space="preserve"> слабо выраженный отек и инфильтрация стромы. Могут появляться зоны истончения стромы.</w:t>
      </w:r>
      <w:r w:rsidRPr="003346D4">
        <w:br/>
        <w:t xml:space="preserve">        При переходе воспалительного процесса на глубжележащие оболочки глаза - </w:t>
      </w:r>
      <w:r w:rsidRPr="003346D4">
        <w:lastRenderedPageBreak/>
        <w:t xml:space="preserve">радужку, цилиарное тело - развивается </w:t>
      </w:r>
      <w:proofErr w:type="spellStart"/>
      <w:r w:rsidRPr="003346D4">
        <w:t>кератоирит</w:t>
      </w:r>
      <w:proofErr w:type="spellEnd"/>
      <w:r w:rsidRPr="003346D4">
        <w:t xml:space="preserve">, </w:t>
      </w:r>
      <w:proofErr w:type="spellStart"/>
      <w:r w:rsidRPr="003346D4">
        <w:t>кератоиридоциклит</w:t>
      </w:r>
      <w:proofErr w:type="spellEnd"/>
      <w:r w:rsidRPr="003346D4">
        <w:t xml:space="preserve">, кератоувеит; это сопровождается отложением преципитатов на задней поверхности роговицы, появлением фибрина во влаге передней камеры. В случае перфорации трофической язвы роговицы могут возникнуть тяжелые осложнения: </w:t>
      </w:r>
      <w:proofErr w:type="gramStart"/>
      <w:r w:rsidRPr="003346D4">
        <w:t>гнойный</w:t>
      </w:r>
      <w:proofErr w:type="gramEnd"/>
      <w:r w:rsidRPr="003346D4">
        <w:t xml:space="preserve"> </w:t>
      </w:r>
      <w:proofErr w:type="spellStart"/>
      <w:r w:rsidRPr="003346D4">
        <w:t>эндофтальмит</w:t>
      </w:r>
      <w:proofErr w:type="spellEnd"/>
      <w:r w:rsidRPr="003346D4">
        <w:t xml:space="preserve">, вторичная глаукома, </w:t>
      </w:r>
      <w:proofErr w:type="spellStart"/>
      <w:r w:rsidRPr="003346D4">
        <w:t>субатрофия</w:t>
      </w:r>
      <w:proofErr w:type="spellEnd"/>
      <w:r w:rsidRPr="003346D4">
        <w:t xml:space="preserve"> глазного яблока, симпатическая офтальмия.</w:t>
      </w:r>
    </w:p>
    <w:p w:rsidR="00021FEA" w:rsidRPr="00992D0A" w:rsidRDefault="00021FEA" w:rsidP="00021FEA">
      <w:pPr>
        <w:pStyle w:val="2"/>
        <w:divId w:val="1892956598"/>
        <w:rPr>
          <w:b w:val="0"/>
          <w:i/>
        </w:rPr>
      </w:pPr>
      <w:bookmarkStart w:id="18" w:name="_Toc481757732"/>
      <w:r w:rsidRPr="00992D0A">
        <w:t>1.7 Организация оказания медицинской помощи</w:t>
      </w:r>
      <w:bookmarkEnd w:id="18"/>
    </w:p>
    <w:p w:rsidR="00021FEA" w:rsidRPr="00F26C5A" w:rsidRDefault="00021FEA" w:rsidP="00021FEA">
      <w:pPr>
        <w:pStyle w:val="afb"/>
        <w:ind w:left="0"/>
        <w:divId w:val="1892956598"/>
      </w:pPr>
      <w:r w:rsidRPr="00F26C5A">
        <w:rPr>
          <w:b/>
        </w:rPr>
        <w:t xml:space="preserve">Нозологическая форма: </w:t>
      </w:r>
      <w:r w:rsidRPr="00F26C5A">
        <w:t xml:space="preserve">пациенты с </w:t>
      </w:r>
      <w:r>
        <w:t>трофической язвой роговицы</w:t>
      </w:r>
    </w:p>
    <w:p w:rsidR="00021FEA" w:rsidRPr="00F26C5A" w:rsidRDefault="00021FEA" w:rsidP="00021FEA">
      <w:pPr>
        <w:pStyle w:val="afb"/>
        <w:ind w:left="0"/>
        <w:divId w:val="1892956598"/>
      </w:pPr>
      <w:r w:rsidRPr="00F26C5A">
        <w:rPr>
          <w:b/>
        </w:rPr>
        <w:t>Возрастная категория</w:t>
      </w:r>
      <w:r>
        <w:t>: взрослые, дети</w:t>
      </w:r>
    </w:p>
    <w:p w:rsidR="00021FEA" w:rsidRPr="00F26C5A" w:rsidRDefault="00021FEA" w:rsidP="00021FEA">
      <w:pPr>
        <w:pStyle w:val="afb"/>
        <w:ind w:left="0"/>
        <w:divId w:val="1892956598"/>
      </w:pPr>
      <w:r w:rsidRPr="00F26C5A">
        <w:rPr>
          <w:b/>
        </w:rPr>
        <w:t>Стадия заболевания</w:t>
      </w:r>
      <w:r w:rsidRPr="00F26C5A">
        <w:t>: любая</w:t>
      </w:r>
    </w:p>
    <w:p w:rsidR="00021FEA" w:rsidRPr="00F26C5A" w:rsidRDefault="00021FEA" w:rsidP="00021FEA">
      <w:pPr>
        <w:contextualSpacing/>
        <w:divId w:val="1892956598"/>
      </w:pPr>
      <w:r w:rsidRPr="00F26C5A">
        <w:rPr>
          <w:rStyle w:val="apple-style-span"/>
          <w:b/>
          <w:bCs/>
        </w:rPr>
        <w:t>Фаза:</w:t>
      </w:r>
      <w:r w:rsidRPr="00F26C5A">
        <w:rPr>
          <w:rStyle w:val="apple-converted-space"/>
        </w:rPr>
        <w:t> </w:t>
      </w:r>
      <w:r w:rsidRPr="00F26C5A">
        <w:t>острое заболевание глаза</w:t>
      </w:r>
    </w:p>
    <w:p w:rsidR="00021FEA" w:rsidRPr="00F26C5A" w:rsidRDefault="00021FEA" w:rsidP="00021FEA">
      <w:pPr>
        <w:contextualSpacing/>
        <w:divId w:val="1892956598"/>
      </w:pPr>
      <w:r w:rsidRPr="00F26C5A">
        <w:rPr>
          <w:rStyle w:val="apple-style-span"/>
          <w:b/>
          <w:bCs/>
        </w:rPr>
        <w:t>Осложнения</w:t>
      </w:r>
      <w:r w:rsidRPr="00F26C5A">
        <w:rPr>
          <w:b/>
          <w:bCs/>
        </w:rPr>
        <w:t>:</w:t>
      </w:r>
      <w:r w:rsidRPr="00F26C5A">
        <w:rPr>
          <w:rStyle w:val="apple-converted-space"/>
        </w:rPr>
        <w:t> </w:t>
      </w:r>
      <w:r w:rsidRPr="00F26C5A">
        <w:t xml:space="preserve">без осложнений </w:t>
      </w:r>
    </w:p>
    <w:p w:rsidR="00021FEA" w:rsidRPr="00F26C5A" w:rsidRDefault="00021FEA" w:rsidP="00021FEA">
      <w:pPr>
        <w:contextualSpacing/>
        <w:divId w:val="1892956598"/>
      </w:pPr>
      <w:r w:rsidRPr="00F26C5A">
        <w:rPr>
          <w:b/>
        </w:rPr>
        <w:t>Вид оказания медицинской помощи:</w:t>
      </w:r>
      <w:r w:rsidRPr="00F26C5A">
        <w:t xml:space="preserve"> </w:t>
      </w:r>
      <w:proofErr w:type="gramStart"/>
      <w:r w:rsidRPr="00F26C5A">
        <w:t>специализированная</w:t>
      </w:r>
      <w:proofErr w:type="gramEnd"/>
      <w:r w:rsidRPr="00F26C5A">
        <w:t xml:space="preserve">, в том числе высокотехнологичная </w:t>
      </w:r>
    </w:p>
    <w:p w:rsidR="00021FEA" w:rsidRPr="00F26C5A" w:rsidRDefault="00021FEA" w:rsidP="00021FEA">
      <w:pPr>
        <w:contextualSpacing/>
        <w:divId w:val="1892956598"/>
      </w:pPr>
      <w:r w:rsidRPr="00F26C5A">
        <w:rPr>
          <w:b/>
        </w:rPr>
        <w:t>Формы оказания медицинской помощи:</w:t>
      </w:r>
      <w:r w:rsidRPr="00F26C5A">
        <w:t xml:space="preserve"> </w:t>
      </w:r>
      <w:r w:rsidRPr="00F26C5A">
        <w:rPr>
          <w:rStyle w:val="apple-converted-space"/>
        </w:rPr>
        <w:t xml:space="preserve">скорая медицинская помощь в </w:t>
      </w:r>
      <w:r w:rsidRPr="00F26C5A">
        <w:t>экстренной и неотложной форме</w:t>
      </w:r>
    </w:p>
    <w:p w:rsidR="00021FEA" w:rsidRPr="00F26C5A" w:rsidRDefault="00021FEA" w:rsidP="00021FEA">
      <w:pPr>
        <w:contextualSpacing/>
        <w:divId w:val="1892956598"/>
      </w:pPr>
      <w:r w:rsidRPr="00F26C5A">
        <w:rPr>
          <w:b/>
        </w:rPr>
        <w:t>Условия оказания медицинской помощи:</w:t>
      </w:r>
      <w:r w:rsidRPr="00F26C5A">
        <w:t xml:space="preserve"> стационар</w:t>
      </w:r>
    </w:p>
    <w:p w:rsidR="000414F6" w:rsidRDefault="00CB71DA">
      <w:pPr>
        <w:jc w:val="center"/>
      </w:pPr>
      <w:bookmarkStart w:id="19" w:name="__RefHeading___doc_2"/>
      <w:r>
        <w:rPr>
          <w:b/>
          <w:sz w:val="28"/>
          <w:szCs w:val="28"/>
        </w:rPr>
        <w:t>2. Диагностика</w:t>
      </w:r>
      <w:bookmarkEnd w:id="19"/>
    </w:p>
    <w:p w:rsidR="00275A41" w:rsidRDefault="00CB71DA">
      <w:pPr>
        <w:pStyle w:val="2"/>
        <w:divId w:val="266810958"/>
        <w:rPr>
          <w:rFonts w:eastAsia="Times New Roman"/>
          <w:sz w:val="36"/>
          <w:szCs w:val="36"/>
        </w:rPr>
      </w:pPr>
      <w:bookmarkStart w:id="20" w:name="_Toc469402336"/>
      <w:bookmarkStart w:id="21" w:name="_Toc468273531"/>
      <w:bookmarkStart w:id="22" w:name="_Toc468273449"/>
      <w:bookmarkEnd w:id="20"/>
      <w:bookmarkEnd w:id="21"/>
      <w:bookmarkEnd w:id="22"/>
      <w:r>
        <w:rPr>
          <w:rFonts w:eastAsia="Times New Roman"/>
        </w:rPr>
        <w:t>2.1 Жалобы и анамнез</w:t>
      </w:r>
    </w:p>
    <w:p w:rsidR="00275A41" w:rsidRDefault="00CB71DA" w:rsidP="00CB71DA">
      <w:pPr>
        <w:numPr>
          <w:ilvl w:val="0"/>
          <w:numId w:val="4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Рекомендовано выявление характерных жалоб [1,2]:</w:t>
      </w:r>
    </w:p>
    <w:p w:rsidR="00275A41" w:rsidRDefault="00CB71DA" w:rsidP="00CB71DA">
      <w:pPr>
        <w:numPr>
          <w:ilvl w:val="0"/>
          <w:numId w:val="5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светобоязнь;</w:t>
      </w:r>
    </w:p>
    <w:p w:rsidR="00275A41" w:rsidRDefault="00CB71DA" w:rsidP="00CB71DA">
      <w:pPr>
        <w:numPr>
          <w:ilvl w:val="0"/>
          <w:numId w:val="5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слезотечение;</w:t>
      </w:r>
    </w:p>
    <w:p w:rsidR="00275A41" w:rsidRDefault="00CB71DA" w:rsidP="00CB71DA">
      <w:pPr>
        <w:numPr>
          <w:ilvl w:val="0"/>
          <w:numId w:val="5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блефароспазм;</w:t>
      </w:r>
    </w:p>
    <w:p w:rsidR="00275A41" w:rsidRDefault="00CB71DA" w:rsidP="00CB71DA">
      <w:pPr>
        <w:numPr>
          <w:ilvl w:val="0"/>
          <w:numId w:val="5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снижение зрения;</w:t>
      </w:r>
    </w:p>
    <w:p w:rsidR="00275A41" w:rsidRDefault="00CB71DA" w:rsidP="00CB71DA">
      <w:pPr>
        <w:numPr>
          <w:ilvl w:val="0"/>
          <w:numId w:val="5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покраснения.</w:t>
      </w:r>
    </w:p>
    <w:p w:rsidR="00275A41" w:rsidRDefault="00CB71DA">
      <w:pPr>
        <w:pStyle w:val="afa"/>
        <w:divId w:val="266810958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21FEA">
        <w:rPr>
          <w:rStyle w:val="aff8"/>
        </w:rPr>
        <w:t>С</w:t>
      </w:r>
      <w:proofErr w:type="gramEnd"/>
      <w:r>
        <w:t xml:space="preserve"> (уровень достоверности доказательств – </w:t>
      </w:r>
      <w:r w:rsidR="00021FEA">
        <w:t>3</w:t>
      </w:r>
      <w:r>
        <w:t>)</w:t>
      </w:r>
    </w:p>
    <w:p w:rsidR="00275A41" w:rsidRDefault="00CB71DA">
      <w:pPr>
        <w:pStyle w:val="afa"/>
        <w:divId w:val="266810958"/>
      </w:pPr>
      <w:bookmarkStart w:id="23" w:name="_Toc468273532"/>
      <w:bookmarkStart w:id="24" w:name="_Toc468273450"/>
      <w:bookmarkEnd w:id="23"/>
      <w:bookmarkEnd w:id="24"/>
      <w:r>
        <w:rPr>
          <w:u w:val="single"/>
        </w:rPr>
        <w:t>Анамнез</w:t>
      </w:r>
      <w:r>
        <w:t>:</w:t>
      </w:r>
    </w:p>
    <w:p w:rsidR="00275A41" w:rsidRDefault="00CB71DA" w:rsidP="00CB71DA">
      <w:pPr>
        <w:numPr>
          <w:ilvl w:val="0"/>
          <w:numId w:val="6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Рекомендовано обратить внимание на [1,3]:</w:t>
      </w:r>
    </w:p>
    <w:p w:rsidR="00275A41" w:rsidRDefault="00CB71DA" w:rsidP="00CB71DA">
      <w:pPr>
        <w:numPr>
          <w:ilvl w:val="0"/>
          <w:numId w:val="7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длительность заболевания, выраженность тяжести симптомов;</w:t>
      </w:r>
    </w:p>
    <w:p w:rsidR="00275A41" w:rsidRDefault="00CB71DA" w:rsidP="00CB71DA">
      <w:pPr>
        <w:numPr>
          <w:ilvl w:val="0"/>
          <w:numId w:val="7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жалобы: боль, светобоязнь, слезотечение, отделяемое, снижение остроты зрения;</w:t>
      </w:r>
    </w:p>
    <w:p w:rsidR="00275A41" w:rsidRDefault="00CB71DA" w:rsidP="00CB71DA">
      <w:pPr>
        <w:numPr>
          <w:ilvl w:val="0"/>
          <w:numId w:val="7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факторы риска;</w:t>
      </w:r>
    </w:p>
    <w:p w:rsidR="00275A41" w:rsidRDefault="00CB71DA" w:rsidP="00CB71DA">
      <w:pPr>
        <w:numPr>
          <w:ilvl w:val="0"/>
          <w:numId w:val="7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другие заболевания (общие и системные)</w:t>
      </w:r>
      <w:r>
        <w:rPr>
          <w:rStyle w:val="aff8"/>
          <w:rFonts w:eastAsia="Times New Roman"/>
        </w:rPr>
        <w:t>.</w:t>
      </w:r>
    </w:p>
    <w:p w:rsidR="00275A41" w:rsidRDefault="00CB71DA">
      <w:pPr>
        <w:pStyle w:val="afa"/>
        <w:divId w:val="266810958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21FEA">
        <w:rPr>
          <w:rStyle w:val="aff8"/>
        </w:rPr>
        <w:t>С</w:t>
      </w:r>
      <w:proofErr w:type="gramEnd"/>
      <w:r>
        <w:t xml:space="preserve"> (уровень достоверности доказательств – </w:t>
      </w:r>
      <w:r w:rsidR="00021FEA">
        <w:t>4</w:t>
      </w:r>
      <w:r>
        <w:t>)</w:t>
      </w:r>
    </w:p>
    <w:p w:rsidR="00275A41" w:rsidRDefault="00CB71DA">
      <w:pPr>
        <w:pStyle w:val="2"/>
        <w:divId w:val="266810958"/>
        <w:rPr>
          <w:rFonts w:eastAsia="Times New Roman"/>
        </w:rPr>
      </w:pPr>
      <w:bookmarkStart w:id="25" w:name="_Toc462134789"/>
      <w:bookmarkStart w:id="26" w:name="_Toc469402337"/>
      <w:bookmarkStart w:id="27" w:name="_Toc468273536"/>
      <w:bookmarkStart w:id="28" w:name="_Toc468273454"/>
      <w:bookmarkEnd w:id="25"/>
      <w:bookmarkEnd w:id="26"/>
      <w:bookmarkEnd w:id="27"/>
      <w:bookmarkEnd w:id="28"/>
      <w:r>
        <w:rPr>
          <w:rFonts w:eastAsia="Times New Roman"/>
        </w:rPr>
        <w:t xml:space="preserve">2.2 </w:t>
      </w:r>
      <w:proofErr w:type="spellStart"/>
      <w:r>
        <w:rPr>
          <w:rFonts w:eastAsia="Times New Roman"/>
        </w:rPr>
        <w:t>Физикальное</w:t>
      </w:r>
      <w:proofErr w:type="spellEnd"/>
      <w:r>
        <w:rPr>
          <w:rFonts w:eastAsia="Times New Roman"/>
        </w:rPr>
        <w:t xml:space="preserve"> обследование</w:t>
      </w:r>
    </w:p>
    <w:p w:rsidR="00275A41" w:rsidRDefault="00CB71DA">
      <w:pPr>
        <w:pStyle w:val="afa"/>
        <w:divId w:val="266810958"/>
        <w:rPr>
          <w:rFonts w:eastAsiaTheme="minorEastAsia"/>
        </w:rPr>
      </w:pPr>
      <w:proofErr w:type="gramStart"/>
      <w:r>
        <w:rPr>
          <w:rStyle w:val="aff9"/>
        </w:rPr>
        <w:lastRenderedPageBreak/>
        <w:t xml:space="preserve">При развитии трофической язвы роговицы обращает на себя внимание относительно спокойное состояние конъюнктивы, умеренное ее раздражение, отек </w:t>
      </w:r>
      <w:proofErr w:type="spellStart"/>
      <w:r>
        <w:rPr>
          <w:rStyle w:val="aff9"/>
        </w:rPr>
        <w:t>бульбарной</w:t>
      </w:r>
      <w:proofErr w:type="spellEnd"/>
      <w:r>
        <w:rPr>
          <w:rStyle w:val="aff9"/>
        </w:rPr>
        <w:t xml:space="preserve"> конъюнктивы от легкого до выраженного, возможна перикорнеальная инъекция легкой степени.</w:t>
      </w:r>
      <w:proofErr w:type="gramEnd"/>
      <w:r>
        <w:rPr>
          <w:rStyle w:val="aff9"/>
        </w:rPr>
        <w:t xml:space="preserve"> Язвенный дефект обычно имеет четкие границы, нередко с </w:t>
      </w:r>
      <w:proofErr w:type="spellStart"/>
      <w:r>
        <w:rPr>
          <w:rStyle w:val="aff9"/>
        </w:rPr>
        <w:t>ксеротическими</w:t>
      </w:r>
      <w:proofErr w:type="spellEnd"/>
      <w:r>
        <w:rPr>
          <w:rStyle w:val="aff9"/>
        </w:rPr>
        <w:t xml:space="preserve"> изменениями по краям, язвенная поверхность чистая, </w:t>
      </w:r>
      <w:proofErr w:type="spellStart"/>
      <w:r>
        <w:rPr>
          <w:rStyle w:val="aff9"/>
        </w:rPr>
        <w:t>перифокально</w:t>
      </w:r>
      <w:proofErr w:type="spellEnd"/>
      <w:r>
        <w:rPr>
          <w:rStyle w:val="aff9"/>
        </w:rPr>
        <w:t xml:space="preserve"> слабо выраженный отек и инфильтрация стромы. Могут появляться зоны истончения стромы.</w:t>
      </w:r>
      <w:r>
        <w:rPr>
          <w:i/>
          <w:iCs/>
        </w:rPr>
        <w:br/>
      </w:r>
      <w:r>
        <w:rPr>
          <w:rStyle w:val="aff9"/>
        </w:rPr>
        <w:t xml:space="preserve">        При переходе воспалительного процесса на глубжележащие оболочки глаза - радужку, цилиарное тело - развивается </w:t>
      </w:r>
      <w:proofErr w:type="spellStart"/>
      <w:r>
        <w:rPr>
          <w:rStyle w:val="aff9"/>
        </w:rPr>
        <w:t>кератоирит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кератоиридоциклит</w:t>
      </w:r>
      <w:proofErr w:type="spellEnd"/>
      <w:r>
        <w:rPr>
          <w:rStyle w:val="aff9"/>
        </w:rPr>
        <w:t xml:space="preserve">, кератоувеит; это сопровождается отложением преципитатов на задней поверхности роговицы, появлением фибрина во влаге передней камеры. В случае перфорации трофической язвы роговицы могут возникнуть тяжелые осложнения: </w:t>
      </w:r>
      <w:proofErr w:type="gramStart"/>
      <w:r>
        <w:rPr>
          <w:rStyle w:val="aff9"/>
        </w:rPr>
        <w:t>гнойный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эндофтальмит</w:t>
      </w:r>
      <w:proofErr w:type="spellEnd"/>
      <w:r>
        <w:rPr>
          <w:rStyle w:val="aff9"/>
        </w:rPr>
        <w:t xml:space="preserve">, вторичная глаукома, </w:t>
      </w:r>
      <w:proofErr w:type="spellStart"/>
      <w:r>
        <w:rPr>
          <w:rStyle w:val="aff9"/>
        </w:rPr>
        <w:t>субатрофия</w:t>
      </w:r>
      <w:proofErr w:type="spellEnd"/>
      <w:r>
        <w:rPr>
          <w:rStyle w:val="aff9"/>
        </w:rPr>
        <w:t xml:space="preserve"> глазного яблока, симпатическая офтальмия [1, 3, 4].</w:t>
      </w:r>
    </w:p>
    <w:p w:rsidR="00275A41" w:rsidRDefault="00CB71DA">
      <w:pPr>
        <w:pStyle w:val="2"/>
        <w:divId w:val="266810958"/>
        <w:rPr>
          <w:rFonts w:eastAsia="Times New Roman"/>
        </w:rPr>
      </w:pPr>
      <w:bookmarkStart w:id="29" w:name="_Toc468273537"/>
      <w:bookmarkStart w:id="30" w:name="_Toc468273455"/>
      <w:bookmarkStart w:id="31" w:name="_Toc469402338"/>
      <w:bookmarkEnd w:id="29"/>
      <w:bookmarkEnd w:id="30"/>
      <w:bookmarkEnd w:id="31"/>
      <w:r>
        <w:rPr>
          <w:rFonts w:eastAsia="Times New Roman"/>
        </w:rPr>
        <w:t>2.3 Лабораторная диагностика</w:t>
      </w:r>
    </w:p>
    <w:p w:rsidR="00275A41" w:rsidRDefault="00CB71DA" w:rsidP="00CB71DA">
      <w:pPr>
        <w:numPr>
          <w:ilvl w:val="0"/>
          <w:numId w:val="8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Рекомендуется для проведения дифференциальной диагностики [1, 2]:</w:t>
      </w:r>
    </w:p>
    <w:p w:rsidR="00275A41" w:rsidRDefault="00CB71DA" w:rsidP="00CB71DA">
      <w:pPr>
        <w:numPr>
          <w:ilvl w:val="0"/>
          <w:numId w:val="9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 xml:space="preserve"> Мазок с конъюнктивы, окраска — метиленовой синькой и по </w:t>
      </w:r>
      <w:proofErr w:type="spellStart"/>
      <w:r>
        <w:rPr>
          <w:rFonts w:eastAsia="Times New Roman"/>
        </w:rPr>
        <w:t>Граму</w:t>
      </w:r>
      <w:proofErr w:type="spellEnd"/>
      <w:r>
        <w:rPr>
          <w:rFonts w:eastAsia="Times New Roman"/>
        </w:rPr>
        <w:t>.</w:t>
      </w:r>
    </w:p>
    <w:p w:rsidR="00275A41" w:rsidRDefault="00CB71DA" w:rsidP="00CB71DA">
      <w:pPr>
        <w:numPr>
          <w:ilvl w:val="0"/>
          <w:numId w:val="9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 xml:space="preserve"> Посев с конъюнктивы на питательные среды: мясопептонный бульон, кровяной и шоколадный </w:t>
      </w:r>
      <w:proofErr w:type="spellStart"/>
      <w:r>
        <w:rPr>
          <w:rFonts w:eastAsia="Times New Roman"/>
        </w:rPr>
        <w:t>агар</w:t>
      </w:r>
      <w:proofErr w:type="spellEnd"/>
      <w:r>
        <w:rPr>
          <w:rFonts w:eastAsia="Times New Roman"/>
        </w:rPr>
        <w:t>.</w:t>
      </w:r>
    </w:p>
    <w:p w:rsidR="00275A41" w:rsidRDefault="00CB71DA" w:rsidP="00CB71DA">
      <w:pPr>
        <w:numPr>
          <w:ilvl w:val="0"/>
          <w:numId w:val="9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Соскоб платиновой петлей с язвенной поверхности и краев язвы.  Микроскопия материала соскоба, нанесенного на предметное стекло, или посев материала на элективные питательные среды наиболее результативны в дифференциальной диагностике с грибами и амебами.</w:t>
      </w:r>
    </w:p>
    <w:p w:rsidR="00275A41" w:rsidRDefault="00CB71DA" w:rsidP="00CB71DA">
      <w:pPr>
        <w:numPr>
          <w:ilvl w:val="0"/>
          <w:numId w:val="9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Мазок-отпечаток с язвы роговицы берется при глубоких язвах роговой оболочки. При этом на препарате не нарушается расположение микроорганизмов относительно патологического фокуса воспаления.</w:t>
      </w:r>
    </w:p>
    <w:p w:rsidR="00275A41" w:rsidRDefault="00CB71DA">
      <w:pPr>
        <w:pStyle w:val="afa"/>
        <w:divId w:val="266810958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21FEA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21FEA">
        <w:t>4</w:t>
      </w:r>
      <w:r>
        <w:t>)</w:t>
      </w:r>
    </w:p>
    <w:p w:rsidR="00275A41" w:rsidRDefault="00CB71DA">
      <w:pPr>
        <w:pStyle w:val="2"/>
        <w:divId w:val="266810958"/>
        <w:rPr>
          <w:rFonts w:eastAsia="Times New Roman"/>
        </w:rPr>
      </w:pPr>
      <w:bookmarkStart w:id="32" w:name="_Toc469402339"/>
      <w:bookmarkEnd w:id="32"/>
      <w:r>
        <w:rPr>
          <w:rFonts w:eastAsia="Times New Roman"/>
        </w:rPr>
        <w:t>2.4 Инструментальная диагностика</w:t>
      </w:r>
    </w:p>
    <w:p w:rsidR="00275A41" w:rsidRDefault="00CB71DA" w:rsidP="00CB71DA">
      <w:pPr>
        <w:numPr>
          <w:ilvl w:val="0"/>
          <w:numId w:val="10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proofErr w:type="spellStart"/>
      <w:r>
        <w:rPr>
          <w:rFonts w:eastAsia="Times New Roman"/>
        </w:rPr>
        <w:t>Биомикроскопия</w:t>
      </w:r>
      <w:proofErr w:type="spellEnd"/>
      <w:r>
        <w:rPr>
          <w:rFonts w:eastAsia="Times New Roman"/>
        </w:rPr>
        <w:t xml:space="preserve"> рекомендуется всем пациентам [1].</w:t>
      </w:r>
    </w:p>
    <w:p w:rsidR="00275A41" w:rsidRDefault="00CB71DA">
      <w:pPr>
        <w:pStyle w:val="afa"/>
        <w:divId w:val="266810958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21FEA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>(уровен</w:t>
      </w:r>
      <w:r w:rsidR="00021FEA">
        <w:t>ь достоверности доказательств –4</w:t>
      </w:r>
      <w:r>
        <w:t>)</w:t>
      </w:r>
    </w:p>
    <w:p w:rsidR="00275A41" w:rsidRDefault="00CB71DA">
      <w:pPr>
        <w:pStyle w:val="afa"/>
        <w:divId w:val="266810958"/>
      </w:pPr>
      <w:r>
        <w:rPr>
          <w:rStyle w:val="aff8"/>
        </w:rPr>
        <w:t>Комментарии:</w:t>
      </w:r>
      <w:r>
        <w:rPr>
          <w:rStyle w:val="aff9"/>
        </w:rPr>
        <w:t xml:space="preserve"> характерными признаками являются: (1) симптомы раздражения глаза (слезотечение, светобоязнь, блефароспазм), (2) наличие </w:t>
      </w:r>
      <w:proofErr w:type="spellStart"/>
      <w:r>
        <w:rPr>
          <w:rStyle w:val="aff9"/>
        </w:rPr>
        <w:t>перикорнеальной</w:t>
      </w:r>
      <w:proofErr w:type="spellEnd"/>
      <w:r>
        <w:rPr>
          <w:rStyle w:val="aff9"/>
        </w:rPr>
        <w:t xml:space="preserve"> гиперемии или смешанной, сочетающейся с покраснением конъюнктивы, (3) помутнение роговицы, сопровождающееся нарушением зеркальности, блеска роговицы. В пожилом возрасте </w:t>
      </w:r>
      <w:proofErr w:type="spellStart"/>
      <w:r>
        <w:rPr>
          <w:rStyle w:val="aff9"/>
        </w:rPr>
        <w:t>герпетическая</w:t>
      </w:r>
      <w:proofErr w:type="spellEnd"/>
      <w:r>
        <w:rPr>
          <w:rStyle w:val="aff9"/>
        </w:rPr>
        <w:t xml:space="preserve"> язва может протекать бессимптомно, покраснение глаза невелико, или может отсутствовать, боль незначительная.  В детском возрасте, напротив, </w:t>
      </w:r>
      <w:proofErr w:type="spellStart"/>
      <w:r>
        <w:rPr>
          <w:rStyle w:val="aff9"/>
        </w:rPr>
        <w:t>герпетическое</w:t>
      </w:r>
      <w:proofErr w:type="spellEnd"/>
      <w:r>
        <w:rPr>
          <w:rStyle w:val="aff9"/>
        </w:rPr>
        <w:t xml:space="preserve"> поражение роговицы сопровождается резкой болью, выраженным раздражением глаза, светобоязнью.</w:t>
      </w:r>
    </w:p>
    <w:p w:rsidR="00275A41" w:rsidRDefault="00CB71DA" w:rsidP="00CB71DA">
      <w:pPr>
        <w:numPr>
          <w:ilvl w:val="0"/>
          <w:numId w:val="11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Флюоресцеиновая</w:t>
      </w:r>
      <w:proofErr w:type="spellEnd"/>
      <w:r>
        <w:rPr>
          <w:rFonts w:eastAsia="Times New Roman"/>
        </w:rPr>
        <w:t xml:space="preserve"> проба </w:t>
      </w:r>
      <w:r>
        <w:rPr>
          <w:rStyle w:val="aff9"/>
          <w:rFonts w:eastAsia="Times New Roman"/>
        </w:rPr>
        <w:t>(</w:t>
      </w:r>
      <w:r>
        <w:rPr>
          <w:rFonts w:eastAsia="Times New Roman"/>
        </w:rPr>
        <w:t xml:space="preserve">инстилляция одной капли 0,5% раствора </w:t>
      </w:r>
      <w:proofErr w:type="spellStart"/>
      <w:r>
        <w:rPr>
          <w:rFonts w:eastAsia="Times New Roman"/>
        </w:rPr>
        <w:t>флюоресцеина</w:t>
      </w:r>
      <w:proofErr w:type="spellEnd"/>
      <w:r>
        <w:rPr>
          <w:rFonts w:eastAsia="Times New Roman"/>
        </w:rPr>
        <w:t xml:space="preserve"> в конъюнктивальный мешок</w:t>
      </w:r>
      <w:r>
        <w:rPr>
          <w:rStyle w:val="aff9"/>
          <w:rFonts w:eastAsia="Times New Roman"/>
        </w:rPr>
        <w:t>)</w:t>
      </w:r>
      <w:r>
        <w:rPr>
          <w:rFonts w:eastAsia="Times New Roman"/>
        </w:rPr>
        <w:t xml:space="preserve"> рекомендуется всем пациентам</w:t>
      </w:r>
      <w:r>
        <w:rPr>
          <w:rStyle w:val="aff9"/>
          <w:rFonts w:eastAsia="Times New Roman"/>
        </w:rPr>
        <w:t>) [1]</w:t>
      </w:r>
      <w:r>
        <w:rPr>
          <w:rFonts w:eastAsia="Times New Roman"/>
        </w:rPr>
        <w:t>.</w:t>
      </w:r>
      <w:proofErr w:type="gramEnd"/>
    </w:p>
    <w:p w:rsidR="00275A41" w:rsidRDefault="00CB71DA">
      <w:pPr>
        <w:pStyle w:val="afa"/>
        <w:divId w:val="266810958"/>
        <w:rPr>
          <w:rFonts w:eastAsiaTheme="minorEastAsia"/>
        </w:rPr>
      </w:pPr>
      <w:r>
        <w:rPr>
          <w:rStyle w:val="aff8"/>
        </w:rPr>
        <w:lastRenderedPageBreak/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21FEA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21FEA">
        <w:t>4</w:t>
      </w:r>
      <w:r>
        <w:t>)</w:t>
      </w:r>
    </w:p>
    <w:p w:rsidR="00275A41" w:rsidRDefault="00CB71DA">
      <w:pPr>
        <w:pStyle w:val="afa"/>
        <w:divId w:val="266810958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 xml:space="preserve">воспалительные инфильтраты могут иметь различную форму, величину и глубину поражения роговицы. Принципиально важное диагностическое значение имеет </w:t>
      </w:r>
      <w:proofErr w:type="spellStart"/>
      <w:r>
        <w:rPr>
          <w:rStyle w:val="aff9"/>
        </w:rPr>
        <w:t>флюоресцеиновая</w:t>
      </w:r>
      <w:proofErr w:type="spellEnd"/>
      <w:r>
        <w:rPr>
          <w:rStyle w:val="aff9"/>
        </w:rPr>
        <w:t xml:space="preserve"> проба с последующим осмотром роговицы с помощью щелевой лампы, выявляющей нарушения, дефекты эпителиального покрытия роговицы и участки повреждения стромы (язва роговицы). </w:t>
      </w:r>
    </w:p>
    <w:p w:rsidR="00275A41" w:rsidRDefault="00CB71DA" w:rsidP="00CB71DA">
      <w:pPr>
        <w:numPr>
          <w:ilvl w:val="0"/>
          <w:numId w:val="12"/>
        </w:numPr>
        <w:spacing w:before="100" w:beforeAutospacing="1" w:after="100" w:afterAutospacing="1" w:line="240" w:lineRule="auto"/>
        <w:divId w:val="266810958"/>
        <w:rPr>
          <w:rFonts w:eastAsia="Times New Roman"/>
        </w:rPr>
      </w:pPr>
      <w:r>
        <w:rPr>
          <w:rFonts w:eastAsia="Times New Roman"/>
        </w:rPr>
        <w:t>Метод передней оптической когерентной томографии (</w:t>
      </w:r>
      <w:proofErr w:type="gramStart"/>
      <w:r>
        <w:rPr>
          <w:rFonts w:eastAsia="Times New Roman"/>
        </w:rPr>
        <w:t>ОКТ</w:t>
      </w:r>
      <w:proofErr w:type="gramEnd"/>
      <w:r>
        <w:rPr>
          <w:rFonts w:eastAsia="Times New Roman"/>
        </w:rPr>
        <w:t>) рекомендуется всем пациентам [1].</w:t>
      </w:r>
    </w:p>
    <w:p w:rsidR="00275A41" w:rsidRDefault="00CB71DA">
      <w:pPr>
        <w:pStyle w:val="afa"/>
        <w:divId w:val="266810958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21FEA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21FEA">
        <w:t>4</w:t>
      </w:r>
      <w:r>
        <w:t>)</w:t>
      </w:r>
    </w:p>
    <w:p w:rsidR="00275A41" w:rsidRDefault="00CB71DA">
      <w:pPr>
        <w:pStyle w:val="afa"/>
        <w:divId w:val="266810958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>позволяет визуализировать размеры и глубину изъязвления роговицы, интенсивность и размеры инфильтрации стромы, отек роговицы, развитие буллезных образований. Метод важен при мониторинге состояния роговицы в динамике лечения.</w:t>
      </w:r>
    </w:p>
    <w:p w:rsidR="000414F6" w:rsidRDefault="00CB71DA">
      <w:pPr>
        <w:jc w:val="center"/>
      </w:pPr>
      <w:bookmarkStart w:id="33" w:name="__RefHeading___doc_3"/>
      <w:r>
        <w:rPr>
          <w:b/>
          <w:sz w:val="28"/>
          <w:szCs w:val="28"/>
        </w:rPr>
        <w:t>3. Лечение</w:t>
      </w:r>
      <w:bookmarkEnd w:id="33"/>
    </w:p>
    <w:p w:rsidR="00275A41" w:rsidRDefault="00CB71DA">
      <w:pPr>
        <w:pStyle w:val="2"/>
        <w:divId w:val="1767193717"/>
        <w:rPr>
          <w:rFonts w:eastAsia="Times New Roman"/>
          <w:sz w:val="36"/>
          <w:szCs w:val="36"/>
        </w:rPr>
      </w:pPr>
      <w:bookmarkStart w:id="34" w:name="_Toc469402341"/>
      <w:bookmarkStart w:id="35" w:name="_Toc468273538"/>
      <w:bookmarkStart w:id="36" w:name="_Toc468273456"/>
      <w:bookmarkEnd w:id="34"/>
      <w:bookmarkEnd w:id="35"/>
      <w:bookmarkEnd w:id="36"/>
      <w:r>
        <w:rPr>
          <w:rFonts w:eastAsia="Times New Roman"/>
        </w:rPr>
        <w:t>3.1 Консервативное лечение</w:t>
      </w:r>
    </w:p>
    <w:p w:rsidR="00275A41" w:rsidRDefault="00CB71DA" w:rsidP="00CB71DA">
      <w:pPr>
        <w:numPr>
          <w:ilvl w:val="0"/>
          <w:numId w:val="13"/>
        </w:numPr>
        <w:spacing w:before="100" w:beforeAutospacing="1" w:after="100" w:afterAutospacing="1" w:line="240" w:lineRule="auto"/>
        <w:divId w:val="1767193717"/>
        <w:rPr>
          <w:rFonts w:eastAsia="Times New Roman"/>
        </w:rPr>
      </w:pPr>
      <w:r>
        <w:rPr>
          <w:rFonts w:eastAsia="Times New Roman"/>
        </w:rPr>
        <w:t>Рекомендована патогенетическая и симптоматическая терапия трофических язвенных поражений [1, 2, 3, 4].</w:t>
      </w:r>
    </w:p>
    <w:p w:rsidR="00275A41" w:rsidRDefault="00CB71DA">
      <w:pPr>
        <w:pStyle w:val="afa"/>
        <w:jc w:val="center"/>
        <w:divId w:val="1767193717"/>
        <w:rPr>
          <w:rFonts w:eastAsiaTheme="minorEastAsia"/>
        </w:rPr>
      </w:pPr>
      <w:r>
        <w:rPr>
          <w:rStyle w:val="aff8"/>
        </w:rPr>
        <w:t>Алгоритм терапии трофических язв роговицы</w:t>
      </w:r>
    </w:p>
    <w:p w:rsidR="00275A41" w:rsidRDefault="00CB71DA" w:rsidP="00CB71DA">
      <w:pPr>
        <w:numPr>
          <w:ilvl w:val="0"/>
          <w:numId w:val="14"/>
        </w:numPr>
        <w:spacing w:before="100" w:beforeAutospacing="1" w:after="100" w:afterAutospacing="1" w:line="240" w:lineRule="auto"/>
        <w:divId w:val="1767193717"/>
        <w:rPr>
          <w:rFonts w:eastAsia="Times New Roman"/>
        </w:rPr>
      </w:pPr>
      <w:r>
        <w:rPr>
          <w:rFonts w:eastAsia="Times New Roman"/>
          <w:u w:val="single"/>
        </w:rPr>
        <w:t>Антисептические</w:t>
      </w:r>
      <w:r>
        <w:rPr>
          <w:rFonts w:eastAsia="Times New Roman"/>
        </w:rPr>
        <w:t xml:space="preserve"> средства в инстилляциях 2-3 раза в день, </w:t>
      </w:r>
      <w:r>
        <w:rPr>
          <w:rFonts w:eastAsia="Times New Roman"/>
          <w:u w:val="single"/>
        </w:rPr>
        <w:t>Антибактериальные</w:t>
      </w:r>
      <w:r>
        <w:rPr>
          <w:rFonts w:eastAsia="Times New Roman"/>
        </w:rPr>
        <w:t xml:space="preserve"> средства при наличии патогенной микрофлоры или признаках воспаления курсами в инстилляциях 4-5 раз в день.</w:t>
      </w:r>
    </w:p>
    <w:p w:rsidR="00275A41" w:rsidRDefault="00CB71DA" w:rsidP="00CB71DA">
      <w:pPr>
        <w:numPr>
          <w:ilvl w:val="0"/>
          <w:numId w:val="14"/>
        </w:numPr>
        <w:spacing w:before="100" w:beforeAutospacing="1" w:after="100" w:afterAutospacing="1" w:line="240" w:lineRule="auto"/>
        <w:divId w:val="1767193717"/>
        <w:rPr>
          <w:rFonts w:eastAsia="Times New Roman"/>
        </w:rPr>
      </w:pPr>
      <w:r>
        <w:rPr>
          <w:rFonts w:eastAsia="Times New Roman"/>
          <w:u w:val="single"/>
        </w:rPr>
        <w:t>Противовоспалительные препараты</w:t>
      </w:r>
      <w:r>
        <w:rPr>
          <w:rFonts w:eastAsia="Times New Roman"/>
        </w:rPr>
        <w:t xml:space="preserve"> кортикостероиды в виде </w:t>
      </w:r>
      <w:proofErr w:type="spellStart"/>
      <w:proofErr w:type="gramStart"/>
      <w:r>
        <w:rPr>
          <w:rFonts w:eastAsia="Times New Roman"/>
        </w:rPr>
        <w:t>п</w:t>
      </w:r>
      <w:proofErr w:type="spellEnd"/>
      <w:proofErr w:type="gramEnd"/>
      <w:r>
        <w:rPr>
          <w:rFonts w:eastAsia="Times New Roman"/>
        </w:rPr>
        <w:t>/б инъекций (0,1-0,3 мл), под контролем состояния роговицы.</w:t>
      </w:r>
    </w:p>
    <w:p w:rsidR="00275A41" w:rsidRDefault="00CB71DA" w:rsidP="00CB71DA">
      <w:pPr>
        <w:numPr>
          <w:ilvl w:val="0"/>
          <w:numId w:val="14"/>
        </w:numPr>
        <w:spacing w:before="100" w:beforeAutospacing="1" w:after="100" w:afterAutospacing="1" w:line="240" w:lineRule="auto"/>
        <w:divId w:val="1767193717"/>
        <w:rPr>
          <w:rFonts w:eastAsia="Times New Roman"/>
        </w:rPr>
      </w:pPr>
      <w:proofErr w:type="spellStart"/>
      <w:r>
        <w:rPr>
          <w:rFonts w:eastAsia="Times New Roman"/>
          <w:u w:val="single"/>
        </w:rPr>
        <w:t>Репаративные</w:t>
      </w:r>
      <w:proofErr w:type="spellEnd"/>
      <w:r>
        <w:rPr>
          <w:rFonts w:eastAsia="Times New Roman"/>
          <w:u w:val="single"/>
        </w:rPr>
        <w:t xml:space="preserve"> и </w:t>
      </w:r>
      <w:proofErr w:type="spellStart"/>
      <w:r>
        <w:rPr>
          <w:rFonts w:eastAsia="Times New Roman"/>
          <w:u w:val="single"/>
        </w:rPr>
        <w:t>слезозаместительные</w:t>
      </w:r>
      <w:proofErr w:type="spellEnd"/>
      <w:r>
        <w:rPr>
          <w:rFonts w:eastAsia="Times New Roman"/>
        </w:rPr>
        <w:t xml:space="preserve"> препараты в инстилляциях 2-6 раз в день; в том числе </w:t>
      </w:r>
      <w:proofErr w:type="spellStart"/>
      <w:r>
        <w:rPr>
          <w:rFonts w:eastAsia="Times New Roman"/>
        </w:rPr>
        <w:t>гелевые</w:t>
      </w:r>
      <w:proofErr w:type="spellEnd"/>
      <w:r>
        <w:rPr>
          <w:rFonts w:eastAsia="Times New Roman"/>
        </w:rPr>
        <w:t xml:space="preserve"> и/или мазевые препараты кратностью инстилляций 1-4 раза в день.</w:t>
      </w:r>
    </w:p>
    <w:p w:rsidR="00275A41" w:rsidRDefault="00CB71DA" w:rsidP="00CB71DA">
      <w:pPr>
        <w:numPr>
          <w:ilvl w:val="0"/>
          <w:numId w:val="14"/>
        </w:numPr>
        <w:spacing w:before="100" w:beforeAutospacing="1" w:after="100" w:afterAutospacing="1" w:line="240" w:lineRule="auto"/>
        <w:divId w:val="1767193717"/>
        <w:rPr>
          <w:rFonts w:eastAsia="Times New Roman"/>
        </w:rPr>
      </w:pPr>
      <w:proofErr w:type="spellStart"/>
      <w:r>
        <w:rPr>
          <w:rFonts w:eastAsia="Times New Roman"/>
          <w:u w:val="single"/>
        </w:rPr>
        <w:t>Мидриатики</w:t>
      </w:r>
      <w:proofErr w:type="spellEnd"/>
      <w:r>
        <w:rPr>
          <w:rFonts w:eastAsia="Times New Roman"/>
        </w:rPr>
        <w:t xml:space="preserve"> в инстилляциях 1-2 раза в день.</w:t>
      </w:r>
    </w:p>
    <w:p w:rsidR="00275A41" w:rsidRDefault="00CB71DA" w:rsidP="00CB71DA">
      <w:pPr>
        <w:numPr>
          <w:ilvl w:val="0"/>
          <w:numId w:val="14"/>
        </w:numPr>
        <w:spacing w:before="100" w:beforeAutospacing="1" w:after="100" w:afterAutospacing="1" w:line="240" w:lineRule="auto"/>
        <w:divId w:val="1767193717"/>
        <w:rPr>
          <w:rFonts w:eastAsia="Times New Roman"/>
        </w:rPr>
      </w:pPr>
      <w:proofErr w:type="spellStart"/>
      <w:r>
        <w:rPr>
          <w:rFonts w:eastAsia="Times New Roman"/>
          <w:u w:val="single"/>
        </w:rPr>
        <w:t>Иммунотропные</w:t>
      </w:r>
      <w:proofErr w:type="spellEnd"/>
      <w:r>
        <w:rPr>
          <w:rFonts w:eastAsia="Times New Roman"/>
        </w:rPr>
        <w:t xml:space="preserve"> препараты в инстилляциях 2 раза в день.</w:t>
      </w:r>
    </w:p>
    <w:p w:rsidR="00275A41" w:rsidRDefault="00CB71DA">
      <w:pPr>
        <w:pStyle w:val="afa"/>
        <w:divId w:val="1767193717"/>
        <w:rPr>
          <w:rFonts w:eastAsiaTheme="minorEastAsia"/>
        </w:rPr>
      </w:pPr>
      <w:r>
        <w:t> </w:t>
      </w: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21FEA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21FEA">
        <w:t>4</w:t>
      </w:r>
      <w:r>
        <w:t>)</w:t>
      </w:r>
    </w:p>
    <w:p w:rsidR="00275A41" w:rsidRDefault="00CB71DA">
      <w:pPr>
        <w:pStyle w:val="2"/>
        <w:divId w:val="1767193717"/>
        <w:rPr>
          <w:rFonts w:eastAsia="Times New Roman"/>
        </w:rPr>
      </w:pPr>
      <w:bookmarkStart w:id="37" w:name="_Toc469402342"/>
      <w:bookmarkStart w:id="38" w:name="_Toc468273539"/>
      <w:bookmarkStart w:id="39" w:name="_Toc468273457"/>
      <w:bookmarkEnd w:id="37"/>
      <w:bookmarkEnd w:id="38"/>
      <w:bookmarkEnd w:id="39"/>
      <w:r>
        <w:rPr>
          <w:rFonts w:eastAsia="Times New Roman"/>
        </w:rPr>
        <w:t>3.2 Хирургическое лечение</w:t>
      </w:r>
    </w:p>
    <w:p w:rsidR="00275A41" w:rsidRDefault="00CB71DA" w:rsidP="00CB71DA">
      <w:pPr>
        <w:numPr>
          <w:ilvl w:val="0"/>
          <w:numId w:val="15"/>
        </w:numPr>
        <w:spacing w:before="100" w:beforeAutospacing="1" w:after="100" w:afterAutospacing="1" w:line="240" w:lineRule="auto"/>
        <w:divId w:val="1767193717"/>
        <w:rPr>
          <w:rFonts w:eastAsia="Times New Roman"/>
        </w:rPr>
      </w:pPr>
      <w:r>
        <w:rPr>
          <w:rFonts w:eastAsia="Times New Roman"/>
        </w:rPr>
        <w:t xml:space="preserve">Рекомендовано </w:t>
      </w:r>
      <w:r>
        <w:rPr>
          <w:rStyle w:val="aff8"/>
          <w:rFonts w:eastAsia="Times New Roman"/>
        </w:rPr>
        <w:t xml:space="preserve">хирургическое лечение при </w:t>
      </w:r>
      <w:r>
        <w:rPr>
          <w:rFonts w:eastAsia="Times New Roman"/>
        </w:rPr>
        <w:t>[1, 2, 3, 4]</w:t>
      </w:r>
      <w:r>
        <w:rPr>
          <w:rStyle w:val="aff8"/>
          <w:rFonts w:eastAsia="Times New Roman"/>
        </w:rPr>
        <w:t>:</w:t>
      </w:r>
    </w:p>
    <w:p w:rsidR="00275A41" w:rsidRDefault="00CB71DA" w:rsidP="00CB71DA">
      <w:pPr>
        <w:numPr>
          <w:ilvl w:val="0"/>
          <w:numId w:val="16"/>
        </w:numPr>
        <w:spacing w:before="100" w:beforeAutospacing="1" w:after="100" w:afterAutospacing="1" w:line="240" w:lineRule="auto"/>
        <w:divId w:val="1767193717"/>
        <w:rPr>
          <w:rFonts w:eastAsia="Times New Roman"/>
        </w:rPr>
      </w:pPr>
      <w:r>
        <w:rPr>
          <w:rFonts w:eastAsia="Times New Roman"/>
        </w:rPr>
        <w:t xml:space="preserve">глубокая незаживающая язва с повреждением 2/3 глубины стромы роговицы и/или </w:t>
      </w:r>
      <w:proofErr w:type="spellStart"/>
      <w:r>
        <w:rPr>
          <w:rFonts w:eastAsia="Times New Roman"/>
        </w:rPr>
        <w:t>десцеметоцеле</w:t>
      </w:r>
      <w:proofErr w:type="spellEnd"/>
      <w:r>
        <w:rPr>
          <w:rFonts w:eastAsia="Times New Roman"/>
        </w:rPr>
        <w:t>, перфорация язвы роговицы, набухающая катаракта;</w:t>
      </w:r>
    </w:p>
    <w:p w:rsidR="00275A41" w:rsidRDefault="00CB71DA" w:rsidP="00CB71DA">
      <w:pPr>
        <w:numPr>
          <w:ilvl w:val="0"/>
          <w:numId w:val="16"/>
        </w:numPr>
        <w:spacing w:before="100" w:beforeAutospacing="1" w:after="100" w:afterAutospacing="1" w:line="240" w:lineRule="auto"/>
        <w:divId w:val="1767193717"/>
        <w:rPr>
          <w:rFonts w:eastAsia="Times New Roman"/>
        </w:rPr>
      </w:pPr>
      <w:r>
        <w:rPr>
          <w:rFonts w:eastAsia="Times New Roman"/>
        </w:rPr>
        <w:t>неэффективность других методов лечения;</w:t>
      </w:r>
    </w:p>
    <w:p w:rsidR="00275A41" w:rsidRDefault="00CB71DA" w:rsidP="00CB71DA">
      <w:pPr>
        <w:numPr>
          <w:ilvl w:val="0"/>
          <w:numId w:val="16"/>
        </w:numPr>
        <w:spacing w:before="100" w:beforeAutospacing="1" w:after="100" w:afterAutospacing="1" w:line="240" w:lineRule="auto"/>
        <w:divId w:val="1767193717"/>
        <w:rPr>
          <w:rFonts w:eastAsia="Times New Roman"/>
        </w:rPr>
      </w:pPr>
      <w:r>
        <w:rPr>
          <w:rFonts w:eastAsia="Times New Roman"/>
        </w:rPr>
        <w:lastRenderedPageBreak/>
        <w:t>невозможность осуществления других методов лечения (в том числе несоблюдение врачебных рекомендаций, выраженные побочные эффекты) или недоступность соответствующей медикаментозной терапии.</w:t>
      </w:r>
    </w:p>
    <w:p w:rsidR="00275A41" w:rsidRDefault="00CB71DA">
      <w:pPr>
        <w:pStyle w:val="afa"/>
        <w:divId w:val="1767193717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21FEA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>(уровень</w:t>
      </w:r>
      <w:r w:rsidR="00021FEA">
        <w:t xml:space="preserve"> достоверности доказательств – 4</w:t>
      </w:r>
      <w:r>
        <w:t>)</w:t>
      </w:r>
    </w:p>
    <w:p w:rsidR="000414F6" w:rsidRDefault="00CB71DA">
      <w:pPr>
        <w:jc w:val="center"/>
      </w:pPr>
      <w:bookmarkStart w:id="40" w:name="__RefHeading___doc_4"/>
      <w:r>
        <w:rPr>
          <w:b/>
          <w:sz w:val="28"/>
          <w:szCs w:val="28"/>
        </w:rPr>
        <w:t>4. Реабилитация</w:t>
      </w:r>
      <w:bookmarkEnd w:id="40"/>
    </w:p>
    <w:p w:rsidR="00275A41" w:rsidRDefault="00CB71DA">
      <w:pPr>
        <w:pStyle w:val="afa"/>
        <w:divId w:val="2072730472"/>
      </w:pPr>
      <w:r>
        <w:t xml:space="preserve">После выздоровления реабилитация не требуется. В некоторых случаях проводится рассасывающая терапия. </w:t>
      </w:r>
    </w:p>
    <w:p w:rsidR="000414F6" w:rsidRDefault="00CB71DA">
      <w:pPr>
        <w:jc w:val="center"/>
      </w:pPr>
      <w:bookmarkStart w:id="41" w:name="__RefHeading___doc_5"/>
      <w:r>
        <w:rPr>
          <w:b/>
          <w:sz w:val="28"/>
          <w:szCs w:val="28"/>
        </w:rPr>
        <w:t>5. Профилактика</w:t>
      </w:r>
      <w:bookmarkEnd w:id="41"/>
    </w:p>
    <w:p w:rsidR="00275A41" w:rsidRDefault="00CB71DA">
      <w:pPr>
        <w:pStyle w:val="afa"/>
        <w:divId w:val="1260796605"/>
      </w:pPr>
      <w:r>
        <w:t>Специфической профилактики трофических язв роговицы не существует.</w:t>
      </w:r>
    </w:p>
    <w:p w:rsidR="00275A41" w:rsidRDefault="00CB71DA">
      <w:pPr>
        <w:pStyle w:val="afa"/>
        <w:divId w:val="1260796605"/>
      </w:pPr>
      <w:r>
        <w:t>Диспансерное наблюдение не требуется.</w:t>
      </w:r>
    </w:p>
    <w:p w:rsidR="000414F6" w:rsidRDefault="00CB71DA">
      <w:pPr>
        <w:jc w:val="center"/>
      </w:pPr>
      <w:bookmarkStart w:id="42" w:name="__RefHeading___doc_6"/>
      <w:r>
        <w:rPr>
          <w:b/>
          <w:sz w:val="28"/>
          <w:szCs w:val="28"/>
        </w:rPr>
        <w:t>6. Дополнительная информация, влияющая на течение и исход заболевания</w:t>
      </w:r>
      <w:bookmarkEnd w:id="42"/>
    </w:p>
    <w:p w:rsidR="000414F6" w:rsidRDefault="000414F6"/>
    <w:p w:rsidR="000414F6" w:rsidRDefault="00CB71DA">
      <w:pPr>
        <w:jc w:val="center"/>
      </w:pPr>
      <w:bookmarkStart w:id="43" w:name="__RefHeading___doc_criteria"/>
      <w:r>
        <w:rPr>
          <w:b/>
          <w:sz w:val="28"/>
          <w:szCs w:val="28"/>
        </w:rPr>
        <w:t>Критерии оценки качества медицинской помощи</w:t>
      </w:r>
      <w:bookmarkEnd w:id="43"/>
    </w:p>
    <w:p w:rsidR="00275A41" w:rsidRDefault="00CB71DA">
      <w:pPr>
        <w:pStyle w:val="afa"/>
        <w:divId w:val="129131041"/>
      </w:pPr>
      <w:r>
        <w:rPr>
          <w:rStyle w:val="aff8"/>
        </w:rPr>
        <w:t xml:space="preserve">Нозологическая форма: </w:t>
      </w:r>
      <w:r>
        <w:t>пациенты с трофической язвой роговицы</w:t>
      </w:r>
    </w:p>
    <w:p w:rsidR="00275A41" w:rsidRDefault="00CB71DA">
      <w:pPr>
        <w:pStyle w:val="afa"/>
        <w:divId w:val="129131041"/>
      </w:pPr>
      <w:r>
        <w:rPr>
          <w:rStyle w:val="aff8"/>
        </w:rPr>
        <w:t>Код по МКБ-10:</w:t>
      </w:r>
      <w:r>
        <w:t xml:space="preserve"> Н 16,0</w:t>
      </w:r>
    </w:p>
    <w:p w:rsidR="00275A41" w:rsidRDefault="00CB71DA">
      <w:pPr>
        <w:pStyle w:val="afa"/>
        <w:divId w:val="129131041"/>
      </w:pPr>
      <w:r>
        <w:rPr>
          <w:rStyle w:val="aff8"/>
        </w:rPr>
        <w:t>Возрастная категория</w:t>
      </w:r>
      <w:r>
        <w:t>: взрослые, дети</w:t>
      </w:r>
    </w:p>
    <w:p w:rsidR="00275A41" w:rsidRDefault="00CB71DA">
      <w:pPr>
        <w:pStyle w:val="afa"/>
        <w:divId w:val="129131041"/>
      </w:pPr>
      <w:r>
        <w:rPr>
          <w:rStyle w:val="aff8"/>
        </w:rPr>
        <w:t>Стадия заболевания</w:t>
      </w:r>
      <w:r>
        <w:t>: любая</w:t>
      </w:r>
    </w:p>
    <w:p w:rsidR="00275A41" w:rsidRDefault="00CB71DA">
      <w:pPr>
        <w:pStyle w:val="afa"/>
        <w:divId w:val="129131041"/>
      </w:pPr>
      <w:r>
        <w:rPr>
          <w:rStyle w:val="aff8"/>
        </w:rPr>
        <w:t>Фаза:</w:t>
      </w:r>
      <w:r>
        <w:t> острое заболевание глаза</w:t>
      </w:r>
    </w:p>
    <w:p w:rsidR="00275A41" w:rsidRDefault="00CB71DA">
      <w:pPr>
        <w:pStyle w:val="afa"/>
        <w:divId w:val="129131041"/>
      </w:pPr>
      <w:r>
        <w:rPr>
          <w:rStyle w:val="aff8"/>
        </w:rPr>
        <w:t>Осложнения:</w:t>
      </w:r>
      <w:r>
        <w:t> без осложнений</w:t>
      </w:r>
    </w:p>
    <w:p w:rsidR="00275A41" w:rsidRDefault="00CB71DA">
      <w:pPr>
        <w:pStyle w:val="afa"/>
        <w:divId w:val="129131041"/>
      </w:pPr>
      <w:r>
        <w:rPr>
          <w:rStyle w:val="aff8"/>
        </w:rPr>
        <w:t>Вид оказания медицинской помощи:</w:t>
      </w:r>
      <w:r>
        <w:t xml:space="preserve"> </w:t>
      </w:r>
      <w:proofErr w:type="gramStart"/>
      <w:r>
        <w:t>специализированная</w:t>
      </w:r>
      <w:proofErr w:type="gramEnd"/>
      <w:r>
        <w:t>, в том числе высокотехнологичная</w:t>
      </w:r>
    </w:p>
    <w:p w:rsidR="00275A41" w:rsidRDefault="00CB71DA">
      <w:pPr>
        <w:pStyle w:val="afa"/>
        <w:divId w:val="129131041"/>
      </w:pPr>
      <w:r>
        <w:rPr>
          <w:rStyle w:val="aff8"/>
        </w:rPr>
        <w:t>Формы оказания медицинской помощи:</w:t>
      </w:r>
      <w:r>
        <w:t xml:space="preserve"> скорая медицинская помощь в экстренной и неотложной форме</w:t>
      </w:r>
    </w:p>
    <w:p w:rsidR="00275A41" w:rsidRDefault="00CB71DA">
      <w:pPr>
        <w:pStyle w:val="afa"/>
        <w:divId w:val="129131041"/>
      </w:pPr>
      <w:r>
        <w:rPr>
          <w:rStyle w:val="aff8"/>
        </w:rPr>
        <w:t>Условия оказания медицинской помощи:</w:t>
      </w:r>
      <w:r>
        <w:t xml:space="preserve"> стационар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111"/>
        <w:gridCol w:w="1799"/>
        <w:gridCol w:w="1893"/>
      </w:tblGrid>
      <w:tr w:rsidR="00275A41">
        <w:trPr>
          <w:divId w:val="129131041"/>
          <w:tblHeader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  <w:jc w:val="center"/>
            </w:pPr>
            <w:r>
              <w:rPr>
                <w:rStyle w:val="aff8"/>
              </w:rPr>
              <w:lastRenderedPageBreak/>
              <w:t>№</w:t>
            </w:r>
          </w:p>
          <w:p w:rsidR="00275A41" w:rsidRDefault="00CB71DA">
            <w:pPr>
              <w:pStyle w:val="afa"/>
              <w:jc w:val="center"/>
            </w:pPr>
            <w:r>
              <w:rPr>
                <w:rStyle w:val="aff8"/>
              </w:rPr>
              <w:t> 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  <w:jc w:val="center"/>
            </w:pPr>
            <w:r>
              <w:rPr>
                <w:rStyle w:val="aff8"/>
              </w:rPr>
              <w:t>Критерии качества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  <w:jc w:val="center"/>
            </w:pPr>
            <w:r>
              <w:rPr>
                <w:rStyle w:val="aff8"/>
              </w:rPr>
              <w:t>Уровень достоверности доказательств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  <w:jc w:val="center"/>
            </w:pPr>
            <w:r>
              <w:rPr>
                <w:rStyle w:val="aff8"/>
              </w:rPr>
              <w:t>Уровень убедительности рекомендаций</w:t>
            </w:r>
          </w:p>
        </w:tc>
      </w:tr>
      <w:tr w:rsidR="00275A41">
        <w:trPr>
          <w:divId w:val="129131041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proofErr w:type="gramStart"/>
            <w:r>
              <w:t>Выполнена</w:t>
            </w:r>
            <w:proofErr w:type="gramEnd"/>
            <w:r>
              <w:t xml:space="preserve"> </w:t>
            </w:r>
            <w:proofErr w:type="spellStart"/>
            <w:r>
              <w:t>визометрия</w:t>
            </w:r>
            <w:proofErr w:type="spellEnd"/>
            <w:r>
              <w:t xml:space="preserve"> с определением коррекции остроты зрения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>
            <w:pPr>
              <w:pStyle w:val="afa"/>
              <w:jc w:val="center"/>
            </w:pPr>
            <w:r>
              <w:t>С</w:t>
            </w:r>
          </w:p>
        </w:tc>
      </w:tr>
      <w:tr w:rsidR="00275A41">
        <w:trPr>
          <w:divId w:val="129131041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>
            <w:pPr>
              <w:pStyle w:val="afa"/>
            </w:pPr>
            <w:proofErr w:type="gramStart"/>
            <w:r>
              <w:t>Выполнена</w:t>
            </w:r>
            <w:proofErr w:type="gramEnd"/>
            <w:r>
              <w:t xml:space="preserve"> </w:t>
            </w: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 w:rsidP="00021FEA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>
            <w:pPr>
              <w:pStyle w:val="afa"/>
              <w:jc w:val="center"/>
            </w:pPr>
            <w:r>
              <w:t>С</w:t>
            </w:r>
          </w:p>
        </w:tc>
      </w:tr>
      <w:tr w:rsidR="00275A41">
        <w:trPr>
          <w:divId w:val="129131041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>
            <w:pPr>
              <w:pStyle w:val="afa"/>
            </w:pPr>
            <w:r>
              <w:t xml:space="preserve">Выполнено окрашивание роговицы раствором </w:t>
            </w:r>
            <w:proofErr w:type="spellStart"/>
            <w:r>
              <w:t>флюоресцеина</w:t>
            </w:r>
            <w:proofErr w:type="spellEnd"/>
            <w: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 w:rsidP="00021FEA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>
            <w:pPr>
              <w:pStyle w:val="afa"/>
              <w:jc w:val="center"/>
            </w:pPr>
            <w:r>
              <w:t>С</w:t>
            </w:r>
          </w:p>
        </w:tc>
      </w:tr>
      <w:tr w:rsidR="00275A41">
        <w:trPr>
          <w:divId w:val="129131041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>
            <w:pPr>
              <w:pStyle w:val="afa"/>
            </w:pPr>
            <w:r>
              <w:t xml:space="preserve">Выполнено лечение основное: </w:t>
            </w:r>
            <w:proofErr w:type="spellStart"/>
            <w:r>
              <w:t>репаративными</w:t>
            </w:r>
            <w:proofErr w:type="spellEnd"/>
            <w:r>
              <w:t xml:space="preserve"> лекарственными препаратами не позднее 2 часов от момента поступления в стационар (в зависимости от медицинских показаний и при отсутствии медицинских противопоказаний)</w:t>
            </w:r>
          </w:p>
          <w:p w:rsidR="00275A41" w:rsidRDefault="00CB71DA">
            <w:pPr>
              <w:pStyle w:val="afa"/>
            </w:pPr>
            <w:r>
              <w:t xml:space="preserve">Выполнено лечение дополнительное: </w:t>
            </w:r>
            <w:proofErr w:type="spellStart"/>
            <w:r>
              <w:t>противовоспалительнымиими</w:t>
            </w:r>
            <w:proofErr w:type="spellEnd"/>
            <w:r>
              <w:t xml:space="preserve"> лекарственными препаратами и/или лекарственными препаратами антибактериальной, </w:t>
            </w:r>
            <w:proofErr w:type="spellStart"/>
            <w:r>
              <w:t>слезозаместительной</w:t>
            </w:r>
            <w:proofErr w:type="spellEnd"/>
            <w:r>
              <w:t xml:space="preserve"> терапии не позднее 2 часов от момента поступления в стационар (в зависимости от медицинских показаний и при отсутствии медицинских противопоказаний)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 w:rsidP="00021FEA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>
            <w:pPr>
              <w:pStyle w:val="afa"/>
              <w:jc w:val="center"/>
            </w:pPr>
            <w:r>
              <w:t>С</w:t>
            </w:r>
          </w:p>
        </w:tc>
      </w:tr>
      <w:tr w:rsidR="00275A41">
        <w:trPr>
          <w:divId w:val="129131041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>
            <w:pPr>
              <w:pStyle w:val="afa"/>
            </w:pPr>
            <w:r>
              <w:t xml:space="preserve">Выполнено хирургическое вмешательство (при наличии глубокой незаживающей язвы с повреждением 2/3 глубины стромы роговицы и/или </w:t>
            </w:r>
            <w:proofErr w:type="spellStart"/>
            <w:r>
              <w:t>десцеметоцеле</w:t>
            </w:r>
            <w:proofErr w:type="spellEnd"/>
            <w:r>
              <w:t xml:space="preserve">, перфорации язвы роговицы, набухающей катаракты)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 w:rsidP="00021FEA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>
            <w:pPr>
              <w:pStyle w:val="afa"/>
              <w:jc w:val="center"/>
            </w:pPr>
            <w:r>
              <w:t>С</w:t>
            </w:r>
          </w:p>
        </w:tc>
      </w:tr>
      <w:tr w:rsidR="00275A41">
        <w:trPr>
          <w:divId w:val="129131041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>
            <w:pPr>
              <w:pStyle w:val="afa"/>
            </w:pPr>
            <w:proofErr w:type="gramStart"/>
            <w:r>
              <w:t>Достигнута</w:t>
            </w:r>
            <w:proofErr w:type="gramEnd"/>
            <w:r>
              <w:t xml:space="preserve"> </w:t>
            </w:r>
            <w:proofErr w:type="spellStart"/>
            <w:r>
              <w:t>эпителизация</w:t>
            </w:r>
            <w:proofErr w:type="spellEnd"/>
            <w:r>
              <w:t xml:space="preserve"> поверхности роговицы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 w:rsidP="00021FEA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021FEA">
            <w:pPr>
              <w:pStyle w:val="afa"/>
              <w:jc w:val="center"/>
            </w:pPr>
            <w:r>
              <w:t>С</w:t>
            </w:r>
          </w:p>
        </w:tc>
      </w:tr>
    </w:tbl>
    <w:p w:rsidR="00275A41" w:rsidRDefault="00275A41">
      <w:pPr>
        <w:pStyle w:val="afa"/>
        <w:spacing w:after="240" w:afterAutospacing="0"/>
        <w:divId w:val="129131041"/>
        <w:rPr>
          <w:rFonts w:eastAsiaTheme="minorEastAsia"/>
        </w:rPr>
      </w:pPr>
    </w:p>
    <w:p w:rsidR="000414F6" w:rsidRDefault="00CB71DA">
      <w:pPr>
        <w:jc w:val="center"/>
      </w:pPr>
      <w:r>
        <w:br w:type="page"/>
      </w:r>
      <w:bookmarkStart w:id="44" w:name="__RefHeading___doc_bible"/>
      <w:r>
        <w:rPr>
          <w:b/>
          <w:sz w:val="28"/>
          <w:szCs w:val="28"/>
        </w:rPr>
        <w:lastRenderedPageBreak/>
        <w:t>Список литературы</w:t>
      </w:r>
      <w:bookmarkEnd w:id="44"/>
    </w:p>
    <w:p w:rsidR="00275A41" w:rsidRDefault="00CB71DA" w:rsidP="00CB71DA">
      <w:pPr>
        <w:numPr>
          <w:ilvl w:val="0"/>
          <w:numId w:val="17"/>
        </w:numPr>
        <w:spacing w:before="100" w:beforeAutospacing="1" w:after="100" w:afterAutospacing="1" w:line="240" w:lineRule="auto"/>
        <w:divId w:val="370232997"/>
        <w:rPr>
          <w:rFonts w:eastAsia="Times New Roman"/>
          <w:szCs w:val="24"/>
        </w:rPr>
      </w:pPr>
      <w:proofErr w:type="spellStart"/>
      <w:r>
        <w:rPr>
          <w:rFonts w:eastAsia="Times New Roman"/>
        </w:rPr>
        <w:t>Майчук</w:t>
      </w:r>
      <w:proofErr w:type="spellEnd"/>
      <w:r>
        <w:rPr>
          <w:rFonts w:eastAsia="Times New Roman"/>
        </w:rPr>
        <w:t xml:space="preserve"> Ю.Ф. Оптимизация терапии болезней глазной поверхности. – М.. 2010 – 113 с.</w:t>
      </w:r>
    </w:p>
    <w:p w:rsidR="00275A41" w:rsidRDefault="00CB71DA" w:rsidP="00CB71DA">
      <w:pPr>
        <w:numPr>
          <w:ilvl w:val="0"/>
          <w:numId w:val="17"/>
        </w:numPr>
        <w:spacing w:before="100" w:beforeAutospacing="1" w:after="100" w:afterAutospacing="1" w:line="240" w:lineRule="auto"/>
        <w:divId w:val="370232997"/>
        <w:rPr>
          <w:rFonts w:eastAsia="Times New Roman"/>
        </w:rPr>
      </w:pPr>
      <w:proofErr w:type="spellStart"/>
      <w:r>
        <w:rPr>
          <w:rFonts w:eastAsia="Times New Roman"/>
        </w:rPr>
        <w:t>Майчук</w:t>
      </w:r>
      <w:proofErr w:type="spellEnd"/>
      <w:r>
        <w:rPr>
          <w:rFonts w:eastAsia="Times New Roman"/>
        </w:rPr>
        <w:t xml:space="preserve"> Ю.Ф., </w:t>
      </w:r>
      <w:proofErr w:type="gramStart"/>
      <w:r>
        <w:rPr>
          <w:rFonts w:eastAsia="Times New Roman"/>
        </w:rPr>
        <w:t>Орловская</w:t>
      </w:r>
      <w:proofErr w:type="gramEnd"/>
      <w:r>
        <w:rPr>
          <w:rFonts w:eastAsia="Times New Roman"/>
        </w:rPr>
        <w:t xml:space="preserve"> Л.Е. Лекарственные препараты </w:t>
      </w:r>
      <w:proofErr w:type="spellStart"/>
      <w:r>
        <w:rPr>
          <w:rFonts w:eastAsia="Times New Roman"/>
        </w:rPr>
        <w:t>тауфона</w:t>
      </w:r>
      <w:proofErr w:type="spellEnd"/>
      <w:r>
        <w:rPr>
          <w:rFonts w:eastAsia="Times New Roman"/>
        </w:rPr>
        <w:t xml:space="preserve"> и методы их применения при заболеваниях роговицы. Методические рекомендации МЗ РСФСР. 1991.13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275A41" w:rsidRDefault="00CB71DA" w:rsidP="00CB71DA">
      <w:pPr>
        <w:numPr>
          <w:ilvl w:val="0"/>
          <w:numId w:val="17"/>
        </w:numPr>
        <w:spacing w:before="100" w:beforeAutospacing="1" w:after="100" w:afterAutospacing="1" w:line="240" w:lineRule="auto"/>
        <w:divId w:val="370232997"/>
        <w:rPr>
          <w:rFonts w:eastAsia="Times New Roman"/>
        </w:rPr>
      </w:pPr>
      <w:proofErr w:type="spellStart"/>
      <w:r>
        <w:rPr>
          <w:rFonts w:eastAsia="Times New Roman"/>
        </w:rPr>
        <w:t>Майчук</w:t>
      </w:r>
      <w:proofErr w:type="spellEnd"/>
      <w:r>
        <w:rPr>
          <w:rFonts w:eastAsia="Times New Roman"/>
        </w:rPr>
        <w:t xml:space="preserve"> Ю.Ф., Орловская Л.Е. </w:t>
      </w:r>
      <w:proofErr w:type="spellStart"/>
      <w:r>
        <w:rPr>
          <w:rFonts w:eastAsia="Times New Roman"/>
        </w:rPr>
        <w:t>Стромальная</w:t>
      </w:r>
      <w:proofErr w:type="spellEnd"/>
      <w:r>
        <w:rPr>
          <w:rFonts w:eastAsia="Times New Roman"/>
        </w:rPr>
        <w:t xml:space="preserve"> дистрофия роговицы: клинические формы и лечение. </w:t>
      </w:r>
      <w:proofErr w:type="spellStart"/>
      <w:r>
        <w:rPr>
          <w:rFonts w:eastAsia="Times New Roman"/>
        </w:rPr>
        <w:t>Офтальм</w:t>
      </w:r>
      <w:proofErr w:type="spellEnd"/>
      <w:r>
        <w:rPr>
          <w:rFonts w:eastAsia="Times New Roman"/>
        </w:rPr>
        <w:t>. журнал. 1993. № 4 – С. 224–234.</w:t>
      </w:r>
    </w:p>
    <w:p w:rsidR="00275A41" w:rsidRDefault="00CB71DA" w:rsidP="00CB71DA">
      <w:pPr>
        <w:numPr>
          <w:ilvl w:val="0"/>
          <w:numId w:val="17"/>
        </w:numPr>
        <w:spacing w:before="100" w:beforeAutospacing="1" w:after="100" w:afterAutospacing="1" w:line="240" w:lineRule="auto"/>
        <w:divId w:val="370232997"/>
        <w:rPr>
          <w:rFonts w:eastAsia="Times New Roman"/>
        </w:rPr>
      </w:pPr>
      <w:proofErr w:type="gramStart"/>
      <w:r>
        <w:rPr>
          <w:rFonts w:eastAsia="Times New Roman"/>
        </w:rPr>
        <w:t>В</w:t>
      </w:r>
      <w:proofErr w:type="gramEnd"/>
      <w:r w:rsidRPr="007E1018">
        <w:rPr>
          <w:rFonts w:eastAsia="Times New Roman"/>
          <w:lang w:val="en-US"/>
        </w:rPr>
        <w:t xml:space="preserve">onini S, Rama P, Olzi D, Lambiase A. Neurotrophic keratitis. </w:t>
      </w:r>
      <w:proofErr w:type="spellStart"/>
      <w:r>
        <w:rPr>
          <w:rFonts w:eastAsia="Times New Roman"/>
        </w:rPr>
        <w:t>Eye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Lond</w:t>
      </w:r>
      <w:proofErr w:type="spellEnd"/>
      <w:r>
        <w:rPr>
          <w:rFonts w:eastAsia="Times New Roman"/>
        </w:rPr>
        <w:t>) 2003; 17: 989–995.</w:t>
      </w:r>
    </w:p>
    <w:p w:rsidR="000414F6" w:rsidRDefault="00CB71DA">
      <w:pPr>
        <w:jc w:val="center"/>
      </w:pPr>
      <w:r>
        <w:br w:type="page"/>
      </w:r>
      <w:bookmarkStart w:id="45" w:name="__RefHeading___doc_a1"/>
      <w:r>
        <w:rPr>
          <w:b/>
          <w:sz w:val="28"/>
          <w:szCs w:val="28"/>
        </w:rPr>
        <w:lastRenderedPageBreak/>
        <w:t>Приложение 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Состав рабочей группы</w:t>
      </w:r>
      <w:bookmarkEnd w:id="45"/>
    </w:p>
    <w:p w:rsidR="00275A41" w:rsidRDefault="00CB71DA" w:rsidP="00CB71DA">
      <w:pPr>
        <w:numPr>
          <w:ilvl w:val="0"/>
          <w:numId w:val="18"/>
        </w:numPr>
        <w:spacing w:before="100" w:beforeAutospacing="1" w:after="100" w:afterAutospacing="1" w:line="240" w:lineRule="auto"/>
        <w:divId w:val="945381997"/>
        <w:rPr>
          <w:rFonts w:eastAsia="Times New Roman"/>
          <w:szCs w:val="24"/>
        </w:rPr>
      </w:pPr>
      <w:r>
        <w:rPr>
          <w:rStyle w:val="aff8"/>
          <w:rFonts w:eastAsia="Times New Roman"/>
        </w:rPr>
        <w:t>Яни Е.В.,</w:t>
      </w:r>
      <w:r>
        <w:rPr>
          <w:rFonts w:eastAsia="Times New Roman"/>
        </w:rPr>
        <w:t xml:space="preserve"> к.м.н. - руководитель группы, Ассоциация врачей-офтальмологов;</w:t>
      </w:r>
    </w:p>
    <w:p w:rsidR="00275A41" w:rsidRDefault="00CB71DA" w:rsidP="00CB71DA">
      <w:pPr>
        <w:numPr>
          <w:ilvl w:val="0"/>
          <w:numId w:val="18"/>
        </w:numPr>
        <w:spacing w:before="100" w:beforeAutospacing="1" w:after="100" w:afterAutospacing="1" w:line="240" w:lineRule="auto"/>
        <w:divId w:val="945381997"/>
        <w:rPr>
          <w:rFonts w:eastAsia="Times New Roman"/>
        </w:rPr>
      </w:pPr>
      <w:r>
        <w:rPr>
          <w:rStyle w:val="aff8"/>
          <w:rFonts w:eastAsia="Times New Roman"/>
        </w:rPr>
        <w:t>Позднякова В.В.</w:t>
      </w:r>
      <w:r>
        <w:rPr>
          <w:rFonts w:eastAsia="Times New Roman"/>
        </w:rPr>
        <w:t>, к.м.н., Ассоциация врачей-офтальмологов;</w:t>
      </w:r>
    </w:p>
    <w:p w:rsidR="00275A41" w:rsidRDefault="00CB71DA" w:rsidP="00CB71DA">
      <w:pPr>
        <w:numPr>
          <w:ilvl w:val="0"/>
          <w:numId w:val="18"/>
        </w:numPr>
        <w:spacing w:before="100" w:beforeAutospacing="1" w:after="100" w:afterAutospacing="1" w:line="240" w:lineRule="auto"/>
        <w:divId w:val="945381997"/>
        <w:rPr>
          <w:rFonts w:eastAsia="Times New Roman"/>
        </w:rPr>
      </w:pPr>
      <w:proofErr w:type="spellStart"/>
      <w:r>
        <w:rPr>
          <w:rStyle w:val="aff8"/>
          <w:rFonts w:eastAsia="Times New Roman"/>
        </w:rPr>
        <w:t>Арестова</w:t>
      </w:r>
      <w:proofErr w:type="spellEnd"/>
      <w:r>
        <w:rPr>
          <w:rStyle w:val="aff8"/>
          <w:rFonts w:eastAsia="Times New Roman"/>
        </w:rPr>
        <w:t xml:space="preserve"> Н.Н.</w:t>
      </w:r>
      <w:r>
        <w:rPr>
          <w:rFonts w:eastAsia="Times New Roman"/>
        </w:rPr>
        <w:t xml:space="preserve"> д.м.н., Ассоциация врачей-офтальмологов;</w:t>
      </w:r>
    </w:p>
    <w:p w:rsidR="00275A41" w:rsidRDefault="00CB71DA" w:rsidP="00CB71DA">
      <w:pPr>
        <w:numPr>
          <w:ilvl w:val="0"/>
          <w:numId w:val="18"/>
        </w:numPr>
        <w:spacing w:before="100" w:beforeAutospacing="1" w:after="100" w:afterAutospacing="1" w:line="240" w:lineRule="auto"/>
        <w:divId w:val="945381997"/>
        <w:rPr>
          <w:rFonts w:eastAsia="Times New Roman"/>
        </w:rPr>
      </w:pPr>
      <w:proofErr w:type="spellStart"/>
      <w:r>
        <w:rPr>
          <w:rStyle w:val="aff8"/>
          <w:rFonts w:eastAsia="Times New Roman"/>
        </w:rPr>
        <w:t>Бржеский</w:t>
      </w:r>
      <w:proofErr w:type="spellEnd"/>
      <w:r>
        <w:rPr>
          <w:rStyle w:val="aff8"/>
          <w:rFonts w:eastAsia="Times New Roman"/>
        </w:rPr>
        <w:t xml:space="preserve"> В.В.,</w:t>
      </w:r>
      <w:r>
        <w:rPr>
          <w:rFonts w:eastAsia="Times New Roman"/>
        </w:rPr>
        <w:t xml:space="preserve"> д.м.н., Ассоциация врачей-офтальмологов;</w:t>
      </w:r>
    </w:p>
    <w:p w:rsidR="00275A41" w:rsidRDefault="00CB71DA" w:rsidP="00CB71DA">
      <w:pPr>
        <w:numPr>
          <w:ilvl w:val="0"/>
          <w:numId w:val="18"/>
        </w:numPr>
        <w:spacing w:before="100" w:beforeAutospacing="1" w:after="100" w:afterAutospacing="1" w:line="240" w:lineRule="auto"/>
        <w:divId w:val="945381997"/>
        <w:rPr>
          <w:rFonts w:eastAsia="Times New Roman"/>
        </w:rPr>
      </w:pPr>
      <w:r>
        <w:rPr>
          <w:rStyle w:val="aff8"/>
          <w:rFonts w:eastAsia="Times New Roman"/>
        </w:rPr>
        <w:t xml:space="preserve">Вахова Е.С., </w:t>
      </w:r>
      <w:r>
        <w:rPr>
          <w:rFonts w:eastAsia="Times New Roman"/>
        </w:rPr>
        <w:t>к.м.н., Ассоциация врачей-офтальмологов;</w:t>
      </w:r>
    </w:p>
    <w:p w:rsidR="00275A41" w:rsidRDefault="00CB71DA" w:rsidP="00CB71DA">
      <w:pPr>
        <w:numPr>
          <w:ilvl w:val="0"/>
          <w:numId w:val="18"/>
        </w:numPr>
        <w:spacing w:before="100" w:beforeAutospacing="1" w:after="100" w:afterAutospacing="1" w:line="240" w:lineRule="auto"/>
        <w:divId w:val="945381997"/>
        <w:rPr>
          <w:rFonts w:eastAsia="Times New Roman"/>
        </w:rPr>
      </w:pPr>
      <w:r>
        <w:rPr>
          <w:rStyle w:val="aff8"/>
          <w:rFonts w:eastAsia="Times New Roman"/>
        </w:rPr>
        <w:t xml:space="preserve">Ковалевская М.А., </w:t>
      </w:r>
      <w:r>
        <w:rPr>
          <w:rFonts w:eastAsia="Times New Roman"/>
        </w:rPr>
        <w:t>д.м.н., Ассоциация врачей-офтальмологов;</w:t>
      </w:r>
    </w:p>
    <w:p w:rsidR="00275A41" w:rsidRDefault="00CB71DA" w:rsidP="00CB71DA">
      <w:pPr>
        <w:numPr>
          <w:ilvl w:val="0"/>
          <w:numId w:val="18"/>
        </w:numPr>
        <w:spacing w:before="100" w:beforeAutospacing="1" w:after="100" w:afterAutospacing="1" w:line="240" w:lineRule="auto"/>
        <w:divId w:val="945381997"/>
        <w:rPr>
          <w:rFonts w:eastAsia="Times New Roman"/>
        </w:rPr>
      </w:pPr>
      <w:proofErr w:type="gramStart"/>
      <w:r>
        <w:rPr>
          <w:rStyle w:val="aff8"/>
          <w:rFonts w:eastAsia="Times New Roman"/>
        </w:rPr>
        <w:t xml:space="preserve">Ковалева Л.А., </w:t>
      </w:r>
      <w:r>
        <w:rPr>
          <w:rFonts w:eastAsia="Times New Roman"/>
        </w:rPr>
        <w:t>н.с.</w:t>
      </w:r>
      <w:r>
        <w:rPr>
          <w:rStyle w:val="aff8"/>
          <w:rFonts w:eastAsia="Times New Roman"/>
        </w:rPr>
        <w:t xml:space="preserve">, </w:t>
      </w:r>
      <w:r>
        <w:rPr>
          <w:rFonts w:eastAsia="Times New Roman"/>
        </w:rPr>
        <w:t>Ассоциация врачей-офтальмологов;</w:t>
      </w:r>
      <w:proofErr w:type="gramEnd"/>
    </w:p>
    <w:p w:rsidR="00275A41" w:rsidRDefault="00CB71DA" w:rsidP="00CB71DA">
      <w:pPr>
        <w:numPr>
          <w:ilvl w:val="0"/>
          <w:numId w:val="18"/>
        </w:numPr>
        <w:spacing w:before="100" w:beforeAutospacing="1" w:after="100" w:afterAutospacing="1" w:line="240" w:lineRule="auto"/>
        <w:divId w:val="945381997"/>
        <w:rPr>
          <w:rFonts w:eastAsia="Times New Roman"/>
        </w:rPr>
      </w:pPr>
      <w:r>
        <w:rPr>
          <w:rStyle w:val="aff8"/>
          <w:rFonts w:eastAsia="Times New Roman"/>
        </w:rPr>
        <w:t xml:space="preserve">Кричевская Г.И., </w:t>
      </w:r>
      <w:r>
        <w:rPr>
          <w:rFonts w:eastAsia="Times New Roman"/>
        </w:rPr>
        <w:t>к.м.н., Ассоциация врачей-офтальмологов;</w:t>
      </w:r>
    </w:p>
    <w:p w:rsidR="00275A41" w:rsidRDefault="00CB71DA" w:rsidP="00CB71DA">
      <w:pPr>
        <w:numPr>
          <w:ilvl w:val="0"/>
          <w:numId w:val="18"/>
        </w:numPr>
        <w:spacing w:before="100" w:beforeAutospacing="1" w:after="100" w:afterAutospacing="1" w:line="240" w:lineRule="auto"/>
        <w:divId w:val="945381997"/>
        <w:rPr>
          <w:rFonts w:eastAsia="Times New Roman"/>
        </w:rPr>
      </w:pPr>
      <w:proofErr w:type="spellStart"/>
      <w:r>
        <w:rPr>
          <w:rStyle w:val="aff8"/>
          <w:rFonts w:eastAsia="Times New Roman"/>
        </w:rPr>
        <w:t>Майчук</w:t>
      </w:r>
      <w:proofErr w:type="spellEnd"/>
      <w:r>
        <w:rPr>
          <w:rStyle w:val="aff8"/>
          <w:rFonts w:eastAsia="Times New Roman"/>
        </w:rPr>
        <w:t xml:space="preserve"> Д.Ю., д</w:t>
      </w:r>
      <w:r>
        <w:rPr>
          <w:rFonts w:eastAsia="Times New Roman"/>
        </w:rPr>
        <w:t>.м.н., Ассоциация врачей-офтальмологов;</w:t>
      </w:r>
    </w:p>
    <w:p w:rsidR="00275A41" w:rsidRDefault="00CB71DA" w:rsidP="00CB71DA">
      <w:pPr>
        <w:numPr>
          <w:ilvl w:val="0"/>
          <w:numId w:val="18"/>
        </w:numPr>
        <w:spacing w:before="100" w:beforeAutospacing="1" w:after="100" w:afterAutospacing="1" w:line="240" w:lineRule="auto"/>
        <w:divId w:val="945381997"/>
        <w:rPr>
          <w:rFonts w:eastAsia="Times New Roman"/>
        </w:rPr>
      </w:pPr>
      <w:proofErr w:type="gramStart"/>
      <w:r>
        <w:rPr>
          <w:rStyle w:val="aff8"/>
          <w:rFonts w:eastAsia="Times New Roman"/>
        </w:rPr>
        <w:t>Селиверстова К.Е.,</w:t>
      </w:r>
      <w:r>
        <w:rPr>
          <w:rFonts w:eastAsia="Times New Roman"/>
        </w:rPr>
        <w:t xml:space="preserve"> н.с., Ассоциация врачей-офтальмологов;</w:t>
      </w:r>
      <w:proofErr w:type="gramEnd"/>
    </w:p>
    <w:p w:rsidR="00275A41" w:rsidRDefault="00CB71DA">
      <w:pPr>
        <w:pStyle w:val="afa"/>
        <w:divId w:val="945381997"/>
        <w:rPr>
          <w:rFonts w:eastAsiaTheme="minorEastAsia"/>
        </w:rPr>
      </w:pPr>
      <w:r>
        <w:rPr>
          <w:rStyle w:val="aff8"/>
        </w:rPr>
        <w:t>Конфликт интересов</w:t>
      </w:r>
      <w:r>
        <w:t xml:space="preserve"> отсутствует.</w:t>
      </w:r>
    </w:p>
    <w:p w:rsidR="000414F6" w:rsidRDefault="00CB71DA">
      <w:pPr>
        <w:jc w:val="center"/>
      </w:pPr>
      <w:r>
        <w:br w:type="page"/>
      </w:r>
      <w:bookmarkStart w:id="46" w:name="__RefHeading___doc_a2"/>
      <w:r>
        <w:rPr>
          <w:b/>
          <w:sz w:val="28"/>
          <w:szCs w:val="28"/>
        </w:rPr>
        <w:lastRenderedPageBreak/>
        <w:t>Приложение 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Методология разработки клинических рекомендаций</w:t>
      </w:r>
      <w:bookmarkEnd w:id="46"/>
    </w:p>
    <w:p w:rsidR="00275A41" w:rsidRDefault="00CB71DA">
      <w:pPr>
        <w:pStyle w:val="afa"/>
        <w:divId w:val="1333020968"/>
      </w:pPr>
      <w:r>
        <w:t>Методы, использованные для сбора/селекции доказательств: поиск в электронных базах данных, библиотечные ресурсы.</w:t>
      </w:r>
      <w:r>
        <w:rPr>
          <w:rStyle w:val="aff8"/>
        </w:rPr>
        <w:t xml:space="preserve"> Описание методов, использованных для сбора/селекции доказательств: </w:t>
      </w:r>
      <w:r>
        <w:t>доказательной базой для рекомендаций являются публикации, базы данных EMBASE и MEDLINE, а также монографии и статьи в ведущих специализированных рецензируемых отечественных медицинских журналах по данной тематике. Глубина поиска составляла 15 лет.</w:t>
      </w:r>
      <w:r>
        <w:rPr>
          <w:rStyle w:val="aff8"/>
        </w:rPr>
        <w:t xml:space="preserve"> Методы, использованные для оценки качества и силы доказательств: к</w:t>
      </w:r>
      <w:r>
        <w:t>онсенсус экспертов, оценка значимости в соответствии с рейтинговой схемой.</w:t>
      </w:r>
    </w:p>
    <w:p w:rsidR="00275A41" w:rsidRDefault="00CB71DA">
      <w:pPr>
        <w:pStyle w:val="afa"/>
        <w:divId w:val="1333020968"/>
      </w:pPr>
      <w:r>
        <w:rPr>
          <w:rStyle w:val="aff8"/>
          <w:u w:val="single"/>
        </w:rPr>
        <w:t>Целевая аудитория данных клинических рекомендаций:</w:t>
      </w:r>
    </w:p>
    <w:p w:rsidR="00275A41" w:rsidRDefault="00CB71DA">
      <w:pPr>
        <w:pStyle w:val="afa"/>
        <w:divId w:val="1333020968"/>
      </w:pPr>
      <w:r>
        <w:t>1. Врачи офтальмологи</w:t>
      </w:r>
    </w:p>
    <w:p w:rsidR="00275A41" w:rsidRDefault="00CB71DA">
      <w:pPr>
        <w:pStyle w:val="afa"/>
        <w:divId w:val="1333020968"/>
      </w:pPr>
      <w:r>
        <w:rPr>
          <w:rStyle w:val="aff8"/>
        </w:rPr>
        <w:t>Таблица П</w:t>
      </w:r>
      <w:proofErr w:type="gramStart"/>
      <w:r>
        <w:rPr>
          <w:rStyle w:val="aff8"/>
        </w:rPr>
        <w:t>1</w:t>
      </w:r>
      <w:proofErr w:type="gramEnd"/>
      <w:r>
        <w:rPr>
          <w:rStyle w:val="aff8"/>
        </w:rPr>
        <w:t xml:space="preserve"> – Уровни достоверности доказательств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7395"/>
      </w:tblGrid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rPr>
                <w:rStyle w:val="aff8"/>
              </w:rPr>
              <w:t>Уровень достоверности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rPr>
                <w:rStyle w:val="aff8"/>
              </w:rPr>
              <w:t>Тип данных</w:t>
            </w:r>
          </w:p>
        </w:tc>
      </w:tr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1а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 xml:space="preserve">Мета анализ </w:t>
            </w:r>
            <w:proofErr w:type="spellStart"/>
            <w:r>
              <w:t>рандомизированных</w:t>
            </w:r>
            <w:proofErr w:type="spellEnd"/>
            <w:r>
              <w:t xml:space="preserve"> контролируемых исследований (РКИ)</w:t>
            </w:r>
          </w:p>
        </w:tc>
      </w:tr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1b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Хотя бы одно РКИ</w:t>
            </w:r>
          </w:p>
        </w:tc>
      </w:tr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2а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Хотя бы одно хорошо выполненное контролируемое исследование без рандомизации</w:t>
            </w:r>
          </w:p>
        </w:tc>
      </w:tr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2b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 xml:space="preserve">Хотя бы одно хорошо выполненное </w:t>
            </w:r>
            <w:proofErr w:type="spellStart"/>
            <w:r>
              <w:t>квазиэкспериментальное</w:t>
            </w:r>
            <w:proofErr w:type="spellEnd"/>
            <w:r>
              <w:t xml:space="preserve"> исследование</w:t>
            </w:r>
          </w:p>
        </w:tc>
      </w:tr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3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Хорошо выполненные не экспериментальные исследования: сравнительные, корреляционные или «случай-контроль»</w:t>
            </w:r>
          </w:p>
        </w:tc>
      </w:tr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4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 xml:space="preserve">Экспертное </w:t>
            </w:r>
            <w:proofErr w:type="spellStart"/>
            <w:r>
              <w:t>консенсусное</w:t>
            </w:r>
            <w:proofErr w:type="spellEnd"/>
            <w:r>
              <w:t xml:space="preserve"> мнение либо клинический опыт признанного авторитета</w:t>
            </w:r>
          </w:p>
        </w:tc>
      </w:tr>
    </w:tbl>
    <w:p w:rsidR="00275A41" w:rsidRDefault="00CB71DA">
      <w:pPr>
        <w:pStyle w:val="afa"/>
        <w:divId w:val="1333020968"/>
        <w:rPr>
          <w:rFonts w:eastAsiaTheme="minorEastAsia"/>
        </w:rPr>
      </w:pPr>
      <w:r>
        <w:rPr>
          <w:rStyle w:val="aff8"/>
        </w:rPr>
        <w:t> </w:t>
      </w:r>
    </w:p>
    <w:p w:rsidR="00275A41" w:rsidRDefault="00CB71DA">
      <w:pPr>
        <w:pStyle w:val="afa"/>
        <w:divId w:val="1333020968"/>
      </w:pPr>
      <w:r>
        <w:rPr>
          <w:rStyle w:val="aff8"/>
        </w:rPr>
        <w:t>Таблица П</w:t>
      </w:r>
      <w:proofErr w:type="gramStart"/>
      <w:r>
        <w:rPr>
          <w:rStyle w:val="aff8"/>
        </w:rPr>
        <w:t>2</w:t>
      </w:r>
      <w:proofErr w:type="gramEnd"/>
      <w:r>
        <w:rPr>
          <w:rStyle w:val="aff8"/>
        </w:rPr>
        <w:t xml:space="preserve"> – Уровни убедительности рекомендаций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3"/>
        <w:gridCol w:w="7428"/>
      </w:tblGrid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rPr>
                <w:rStyle w:val="aff8"/>
              </w:rPr>
              <w:t>Уровень убедительности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rPr>
                <w:rStyle w:val="aff8"/>
              </w:rPr>
              <w:t>Основание рекомендации</w:t>
            </w:r>
          </w:p>
        </w:tc>
      </w:tr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А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 xml:space="preserve">Основана на клинических исследованиях хорошего качества, по своей тематике непосредственно применимых к данной специфической рекомендации, </w:t>
            </w:r>
            <w:proofErr w:type="gramStart"/>
            <w:r>
              <w:t>включающих</w:t>
            </w:r>
            <w:proofErr w:type="gramEnd"/>
            <w:r>
              <w:t xml:space="preserve"> по меньшей мере одно РКИ</w:t>
            </w:r>
          </w:p>
        </w:tc>
      </w:tr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В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proofErr w:type="gramStart"/>
            <w:r>
              <w:t>Основана</w:t>
            </w:r>
            <w:proofErr w:type="gramEnd"/>
            <w:r>
              <w:t xml:space="preserve"> на результатах клинических исследований хорошего дизайна, но без рандомизации</w:t>
            </w:r>
          </w:p>
        </w:tc>
      </w:tr>
      <w:tr w:rsidR="00275A41">
        <w:trPr>
          <w:divId w:val="133302096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r>
              <w:t>С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CB71DA">
            <w:pPr>
              <w:pStyle w:val="afa"/>
            </w:pPr>
            <w:proofErr w:type="gramStart"/>
            <w:r>
              <w:t>Составлена</w:t>
            </w:r>
            <w:proofErr w:type="gramEnd"/>
            <w:r>
              <w:t xml:space="preserve"> при отсутствии клинических исследований хорошего качества, непосредственно применимых к данной рекомендации</w:t>
            </w:r>
          </w:p>
        </w:tc>
      </w:tr>
    </w:tbl>
    <w:p w:rsidR="00275A41" w:rsidRDefault="00CB71DA">
      <w:pPr>
        <w:pStyle w:val="afa"/>
        <w:divId w:val="1333020968"/>
        <w:rPr>
          <w:rFonts w:eastAsiaTheme="minorEastAsia"/>
        </w:rPr>
      </w:pPr>
      <w:r>
        <w:rPr>
          <w:rStyle w:val="aff8"/>
        </w:rPr>
        <w:lastRenderedPageBreak/>
        <w:t>Порядок обновления клинических рекомендаций.</w:t>
      </w:r>
    </w:p>
    <w:p w:rsidR="00275A41" w:rsidRDefault="00CB71DA">
      <w:pPr>
        <w:pStyle w:val="afa"/>
        <w:divId w:val="1333020968"/>
      </w:pPr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 </w:t>
      </w:r>
    </w:p>
    <w:p w:rsidR="000414F6" w:rsidRDefault="00CB71DA">
      <w:pPr>
        <w:jc w:val="center"/>
      </w:pPr>
      <w:r>
        <w:br w:type="page"/>
      </w:r>
      <w:bookmarkStart w:id="47" w:name="__RefHeading___doc_a3"/>
      <w:r>
        <w:rPr>
          <w:b/>
          <w:sz w:val="28"/>
          <w:szCs w:val="28"/>
        </w:rPr>
        <w:lastRenderedPageBreak/>
        <w:t>Приложение А3. Связанные документы</w:t>
      </w:r>
      <w:bookmarkEnd w:id="47"/>
    </w:p>
    <w:p w:rsidR="00275A41" w:rsidRDefault="00CB71DA" w:rsidP="00CB71DA">
      <w:pPr>
        <w:numPr>
          <w:ilvl w:val="0"/>
          <w:numId w:val="19"/>
        </w:numPr>
        <w:spacing w:before="100" w:beforeAutospacing="1" w:after="100" w:afterAutospacing="1" w:line="240" w:lineRule="auto"/>
        <w:divId w:val="1717661548"/>
        <w:rPr>
          <w:rFonts w:eastAsia="Times New Roman"/>
          <w:szCs w:val="24"/>
        </w:rPr>
      </w:pPr>
      <w:r>
        <w:rPr>
          <w:rFonts w:eastAsia="Times New Roman"/>
        </w:rPr>
        <w:t>Международная </w:t>
      </w:r>
      <w:hyperlink r:id="rId9" w:anchor="l0" w:tgtFrame="_blank" w:history="1">
        <w:r>
          <w:rPr>
            <w:rStyle w:val="affa"/>
            <w:rFonts w:eastAsia="Times New Roman"/>
          </w:rPr>
          <w:t>классификация болезней, травм и состояний, влияющих на здоровье, 10-го пересмотра (МКБ-10) (Всемирная организация здравоохранения) 1994.</w:t>
        </w:r>
      </w:hyperlink>
    </w:p>
    <w:p w:rsidR="00275A41" w:rsidRDefault="005B7062" w:rsidP="00CB71DA">
      <w:pPr>
        <w:numPr>
          <w:ilvl w:val="0"/>
          <w:numId w:val="19"/>
        </w:numPr>
        <w:spacing w:before="100" w:beforeAutospacing="1" w:after="100" w:afterAutospacing="1" w:line="240" w:lineRule="auto"/>
        <w:divId w:val="1717661548"/>
        <w:rPr>
          <w:rFonts w:eastAsia="Times New Roman"/>
        </w:rPr>
      </w:pPr>
      <w:hyperlink r:id="rId10" w:anchor="l2389" w:tgtFrame="_blank" w:history="1">
        <w:r w:rsidR="00CB71DA">
          <w:rPr>
            <w:rStyle w:val="affa"/>
            <w:rFonts w:eastAsia="Times New Roman"/>
          </w:rPr>
          <w:t>Номенклатура медицинских услуг (Министерство здравоохранения и социального развития Российской Федерации) 2011.</w:t>
        </w:r>
      </w:hyperlink>
    </w:p>
    <w:p w:rsidR="00275A41" w:rsidRDefault="005B7062" w:rsidP="00CB71DA">
      <w:pPr>
        <w:numPr>
          <w:ilvl w:val="0"/>
          <w:numId w:val="19"/>
        </w:numPr>
        <w:spacing w:before="100" w:beforeAutospacing="1" w:after="100" w:afterAutospacing="1" w:line="240" w:lineRule="auto"/>
        <w:divId w:val="1717661548"/>
        <w:rPr>
          <w:rFonts w:eastAsia="Times New Roman"/>
        </w:rPr>
      </w:pPr>
      <w:hyperlink r:id="rId11" w:anchor="l2389" w:tgtFrame="_blank" w:history="1">
        <w:r w:rsidR="00CB71DA">
          <w:rPr>
            <w:rStyle w:val="affa"/>
            <w:rFonts w:eastAsia="Times New Roman"/>
          </w:rPr>
          <w:t>Федеральный закон «Об основах охраны здоровья граждан в Российской Федерации» от 21.11.2011 № 323 Ф3.</w:t>
        </w:r>
      </w:hyperlink>
    </w:p>
    <w:p w:rsidR="00275A41" w:rsidRDefault="005B7062" w:rsidP="00CB71DA">
      <w:pPr>
        <w:numPr>
          <w:ilvl w:val="0"/>
          <w:numId w:val="19"/>
        </w:numPr>
        <w:spacing w:before="100" w:beforeAutospacing="1" w:after="100" w:afterAutospacing="1" w:line="240" w:lineRule="auto"/>
        <w:divId w:val="1717661548"/>
        <w:rPr>
          <w:rFonts w:eastAsia="Times New Roman"/>
        </w:rPr>
      </w:pPr>
      <w:hyperlink r:id="rId12" w:anchor="l2389" w:tgtFrame="_blank" w:history="1">
        <w:r w:rsidR="00CB71DA">
          <w:rPr>
            <w:rStyle w:val="affa"/>
            <w:rFonts w:eastAsia="Times New Roman"/>
          </w:rPr>
          <w:t>Приказ Минздрава России от 12.11.2012 № 902н "Об утверждении Порядка оказания медицинской помощи взрослому населению при заболеваниях глаза, его придаточного аппарата и орбиты".</w:t>
        </w:r>
      </w:hyperlink>
    </w:p>
    <w:p w:rsidR="00275A41" w:rsidRDefault="005B7062" w:rsidP="00CB71DA">
      <w:pPr>
        <w:numPr>
          <w:ilvl w:val="0"/>
          <w:numId w:val="19"/>
        </w:numPr>
        <w:spacing w:before="100" w:beforeAutospacing="1" w:after="100" w:afterAutospacing="1" w:line="240" w:lineRule="auto"/>
        <w:divId w:val="1717661548"/>
        <w:rPr>
          <w:rFonts w:eastAsia="Times New Roman"/>
        </w:rPr>
      </w:pPr>
      <w:hyperlink r:id="rId13" w:anchor="l2389" w:tgtFrame="_blank" w:history="1">
        <w:r w:rsidR="00CB71DA">
          <w:rPr>
            <w:rStyle w:val="affa"/>
            <w:rFonts w:eastAsia="Times New Roman"/>
          </w:rPr>
          <w:t xml:space="preserve">Перечень жизненно необходимых и важнейших лекарственных препаратов на 2016 г. Распоряжение Правительства РФ от 26.12.2015 № 2724-р. </w:t>
        </w:r>
      </w:hyperlink>
    </w:p>
    <w:p w:rsidR="000414F6" w:rsidRDefault="00CB71DA">
      <w:pPr>
        <w:jc w:val="center"/>
      </w:pPr>
      <w:r>
        <w:br w:type="page"/>
      </w:r>
      <w:bookmarkStart w:id="48" w:name="__RefHeading___doc_b"/>
      <w:r>
        <w:rPr>
          <w:b/>
          <w:sz w:val="28"/>
          <w:szCs w:val="28"/>
        </w:rPr>
        <w:lastRenderedPageBreak/>
        <w:t>Приложение Б. Алгоритмы ведения пациента</w:t>
      </w:r>
      <w:bookmarkEnd w:id="48"/>
    </w:p>
    <w:p w:rsidR="00275A41" w:rsidRDefault="00CB71DA">
      <w:pPr>
        <w:pStyle w:val="afa"/>
        <w:divId w:val="1647053396"/>
      </w:pPr>
      <w:r>
        <w:t>Язва роговицы трофическая</w:t>
      </w:r>
    </w:p>
    <w:p w:rsidR="00275A41" w:rsidRDefault="00CB71DA">
      <w:pPr>
        <w:divId w:val="764688137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114962" cy="4254898"/>
            <wp:effectExtent l="0" t="0" r="635" b="0"/>
            <wp:docPr id="2" name="Рисунок 2" descr="C:\images\16_d0f59d85-a745-47d2-8f89-737d92a82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s\16_d0f59d85-a745-47d2-8f89-737d92a822aa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62" cy="425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F6" w:rsidRDefault="00CB71DA">
      <w:pPr>
        <w:jc w:val="center"/>
      </w:pPr>
      <w:r>
        <w:br w:type="page"/>
      </w:r>
      <w:bookmarkStart w:id="49" w:name="__RefHeading___doc_v"/>
      <w:r>
        <w:rPr>
          <w:b/>
          <w:sz w:val="28"/>
          <w:szCs w:val="28"/>
        </w:rPr>
        <w:lastRenderedPageBreak/>
        <w:t>Приложение В. Информация для пациентов</w:t>
      </w:r>
      <w:bookmarkEnd w:id="49"/>
    </w:p>
    <w:p w:rsidR="00275A41" w:rsidRDefault="00CB71DA">
      <w:pPr>
        <w:pStyle w:val="afa"/>
        <w:divId w:val="874585724"/>
      </w:pPr>
      <w:r>
        <w:t>Пациенту с установленным диагнозом трофической язвы роговицы должна быть оказана скорая медицинская помощь в экстренной и неотложной форме, в условиях стационара.</w:t>
      </w:r>
    </w:p>
    <w:p w:rsidR="000414F6" w:rsidRDefault="00CB71DA">
      <w:pPr>
        <w:jc w:val="center"/>
      </w:pPr>
      <w:r>
        <w:br w:type="page"/>
      </w:r>
      <w:bookmarkStart w:id="50" w:name="__RefHeading___doc_g"/>
      <w:r>
        <w:rPr>
          <w:b/>
          <w:sz w:val="28"/>
          <w:szCs w:val="28"/>
        </w:rPr>
        <w:lastRenderedPageBreak/>
        <w:t>Приложение Г.</w:t>
      </w:r>
      <w:bookmarkEnd w:id="50"/>
    </w:p>
    <w:p w:rsidR="000414F6" w:rsidRDefault="000414F6"/>
    <w:sectPr w:rsidR="000414F6" w:rsidSect="00275A41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47" w:rsidRDefault="00C34847">
      <w:pPr>
        <w:spacing w:line="240" w:lineRule="auto"/>
      </w:pPr>
      <w:r>
        <w:separator/>
      </w:r>
    </w:p>
  </w:endnote>
  <w:endnote w:type="continuationSeparator" w:id="0">
    <w:p w:rsidR="00C34847" w:rsidRDefault="00C34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31649"/>
      <w:docPartObj>
        <w:docPartGallery w:val="Page Numbers (Bottom of Page)"/>
        <w:docPartUnique/>
      </w:docPartObj>
    </w:sdtPr>
    <w:sdtContent>
      <w:p w:rsidR="00D2226B" w:rsidRDefault="005B7062">
        <w:pPr>
          <w:pStyle w:val="af9"/>
          <w:jc w:val="center"/>
        </w:pPr>
        <w:r>
          <w:fldChar w:fldCharType="begin"/>
        </w:r>
        <w:r w:rsidR="00D2226B">
          <w:instrText>PAGE</w:instrText>
        </w:r>
        <w:r>
          <w:fldChar w:fldCharType="separate"/>
        </w:r>
        <w:r w:rsidR="001D484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47" w:rsidRDefault="00C34847">
      <w:pPr>
        <w:spacing w:line="240" w:lineRule="auto"/>
      </w:pPr>
      <w:r>
        <w:separator/>
      </w:r>
    </w:p>
  </w:footnote>
  <w:footnote w:type="continuationSeparator" w:id="0">
    <w:p w:rsidR="00C34847" w:rsidRDefault="00C348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6B" w:rsidRDefault="00D2226B">
    <w:pPr>
      <w:pStyle w:val="af8"/>
      <w:jc w:val="right"/>
      <w:rPr>
        <w:i/>
      </w:rPr>
    </w:pPr>
    <w:r>
      <w:rPr>
        <w:i/>
      </w:rPr>
      <w:t>КР99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62B"/>
    <w:multiLevelType w:val="multilevel"/>
    <w:tmpl w:val="F1F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D4C"/>
    <w:multiLevelType w:val="multilevel"/>
    <w:tmpl w:val="A5D6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B1F2B"/>
    <w:multiLevelType w:val="multilevel"/>
    <w:tmpl w:val="DAA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60A6"/>
    <w:multiLevelType w:val="multilevel"/>
    <w:tmpl w:val="1214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A5398"/>
    <w:multiLevelType w:val="multilevel"/>
    <w:tmpl w:val="80F6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90FE3"/>
    <w:multiLevelType w:val="multilevel"/>
    <w:tmpl w:val="5EC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A2C3A"/>
    <w:multiLevelType w:val="multilevel"/>
    <w:tmpl w:val="B17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A79F4"/>
    <w:multiLevelType w:val="multilevel"/>
    <w:tmpl w:val="D162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C7EBF"/>
    <w:multiLevelType w:val="multilevel"/>
    <w:tmpl w:val="6D44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8208C"/>
    <w:multiLevelType w:val="multilevel"/>
    <w:tmpl w:val="C2A2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A0A3C"/>
    <w:multiLevelType w:val="multilevel"/>
    <w:tmpl w:val="8190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CCA"/>
    <w:multiLevelType w:val="multilevel"/>
    <w:tmpl w:val="955EE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0EE717C"/>
    <w:multiLevelType w:val="multilevel"/>
    <w:tmpl w:val="C6A4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F76B6"/>
    <w:multiLevelType w:val="multilevel"/>
    <w:tmpl w:val="FD2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42AA5"/>
    <w:multiLevelType w:val="multilevel"/>
    <w:tmpl w:val="6406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31A94"/>
    <w:multiLevelType w:val="multilevel"/>
    <w:tmpl w:val="BA3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6F32CD"/>
    <w:multiLevelType w:val="multilevel"/>
    <w:tmpl w:val="6224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8"/>
  </w:num>
  <w:num w:numId="6">
    <w:abstractNumId w:val="16"/>
  </w:num>
  <w:num w:numId="7">
    <w:abstractNumId w:val="7"/>
  </w:num>
  <w:num w:numId="8">
    <w:abstractNumId w:val="2"/>
  </w:num>
  <w:num w:numId="9">
    <w:abstractNumId w:val="14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1"/>
  </w:num>
  <w:num w:numId="15">
    <w:abstractNumId w:val="4"/>
  </w:num>
  <w:num w:numId="16">
    <w:abstractNumId w:val="18"/>
  </w:num>
  <w:num w:numId="17">
    <w:abstractNumId w:val="10"/>
  </w:num>
  <w:num w:numId="18">
    <w:abstractNumId w:val="9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21FEA"/>
    <w:rsid w:val="000414F6"/>
    <w:rsid w:val="00146FA3"/>
    <w:rsid w:val="00187BA3"/>
    <w:rsid w:val="001D484A"/>
    <w:rsid w:val="00275A41"/>
    <w:rsid w:val="002A0C02"/>
    <w:rsid w:val="002F7719"/>
    <w:rsid w:val="0036727F"/>
    <w:rsid w:val="004C6DE4"/>
    <w:rsid w:val="005B7062"/>
    <w:rsid w:val="005F668D"/>
    <w:rsid w:val="007E1018"/>
    <w:rsid w:val="00890B9B"/>
    <w:rsid w:val="008D6F8C"/>
    <w:rsid w:val="009C6B5A"/>
    <w:rsid w:val="009E685D"/>
    <w:rsid w:val="00A53CD4"/>
    <w:rsid w:val="00B8507B"/>
    <w:rsid w:val="00BA46B4"/>
    <w:rsid w:val="00C34847"/>
    <w:rsid w:val="00C76650"/>
    <w:rsid w:val="00CB6FFD"/>
    <w:rsid w:val="00CB71DA"/>
    <w:rsid w:val="00D2226B"/>
    <w:rsid w:val="00E4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275A41"/>
    <w:rPr>
      <w:rFonts w:cs="Courier New"/>
    </w:rPr>
  </w:style>
  <w:style w:type="character" w:customStyle="1" w:styleId="ListLabel2">
    <w:name w:val="ListLabel 2"/>
    <w:qFormat/>
    <w:rsid w:val="00275A41"/>
    <w:rPr>
      <w:rFonts w:cs="Courier New"/>
    </w:rPr>
  </w:style>
  <w:style w:type="character" w:customStyle="1" w:styleId="ListLabel3">
    <w:name w:val="ListLabel 3"/>
    <w:qFormat/>
    <w:rsid w:val="00275A41"/>
    <w:rPr>
      <w:rFonts w:cs="Courier New"/>
    </w:rPr>
  </w:style>
  <w:style w:type="character" w:customStyle="1" w:styleId="ListLabel4">
    <w:name w:val="ListLabel 4"/>
    <w:qFormat/>
    <w:rsid w:val="00275A41"/>
    <w:rPr>
      <w:rFonts w:cs="Courier New"/>
    </w:rPr>
  </w:style>
  <w:style w:type="character" w:customStyle="1" w:styleId="ListLabel5">
    <w:name w:val="ListLabel 5"/>
    <w:qFormat/>
    <w:rsid w:val="00275A41"/>
    <w:rPr>
      <w:rFonts w:cs="Courier New"/>
    </w:rPr>
  </w:style>
  <w:style w:type="character" w:customStyle="1" w:styleId="ListLabel6">
    <w:name w:val="ListLabel 6"/>
    <w:qFormat/>
    <w:rsid w:val="00275A41"/>
    <w:rPr>
      <w:rFonts w:cs="Courier New"/>
    </w:rPr>
  </w:style>
  <w:style w:type="character" w:customStyle="1" w:styleId="ListLabel7">
    <w:name w:val="ListLabel 7"/>
    <w:qFormat/>
    <w:rsid w:val="00275A41"/>
    <w:rPr>
      <w:rFonts w:cs="Courier New"/>
    </w:rPr>
  </w:style>
  <w:style w:type="character" w:customStyle="1" w:styleId="ListLabel8">
    <w:name w:val="ListLabel 8"/>
    <w:qFormat/>
    <w:rsid w:val="00275A41"/>
    <w:rPr>
      <w:rFonts w:cs="Courier New"/>
    </w:rPr>
  </w:style>
  <w:style w:type="character" w:customStyle="1" w:styleId="ListLabel9">
    <w:name w:val="ListLabel 9"/>
    <w:qFormat/>
    <w:rsid w:val="00275A41"/>
    <w:rPr>
      <w:rFonts w:cs="Courier New"/>
    </w:rPr>
  </w:style>
  <w:style w:type="character" w:customStyle="1" w:styleId="ListLabel10">
    <w:name w:val="ListLabel 10"/>
    <w:qFormat/>
    <w:rsid w:val="00275A41"/>
    <w:rPr>
      <w:rFonts w:cs="Courier New"/>
      <w:sz w:val="24"/>
    </w:rPr>
  </w:style>
  <w:style w:type="character" w:customStyle="1" w:styleId="ListLabel11">
    <w:name w:val="ListLabel 11"/>
    <w:qFormat/>
    <w:rsid w:val="00275A41"/>
    <w:rPr>
      <w:rFonts w:cs="Courier New"/>
    </w:rPr>
  </w:style>
  <w:style w:type="character" w:customStyle="1" w:styleId="ListLabel12">
    <w:name w:val="ListLabel 12"/>
    <w:qFormat/>
    <w:rsid w:val="00275A41"/>
    <w:rPr>
      <w:rFonts w:cs="Courier New"/>
    </w:rPr>
  </w:style>
  <w:style w:type="character" w:customStyle="1" w:styleId="ListLabel13">
    <w:name w:val="ListLabel 13"/>
    <w:qFormat/>
    <w:rsid w:val="00275A41"/>
    <w:rPr>
      <w:rFonts w:cs="Courier New"/>
    </w:rPr>
  </w:style>
  <w:style w:type="character" w:customStyle="1" w:styleId="ListLabel14">
    <w:name w:val="ListLabel 14"/>
    <w:qFormat/>
    <w:rsid w:val="00275A41"/>
    <w:rPr>
      <w:rFonts w:cs="Courier New"/>
    </w:rPr>
  </w:style>
  <w:style w:type="character" w:customStyle="1" w:styleId="ListLabel15">
    <w:name w:val="ListLabel 15"/>
    <w:qFormat/>
    <w:rsid w:val="00275A41"/>
    <w:rPr>
      <w:rFonts w:cs="Courier New"/>
    </w:rPr>
  </w:style>
  <w:style w:type="character" w:customStyle="1" w:styleId="ListLabel16">
    <w:name w:val="ListLabel 16"/>
    <w:qFormat/>
    <w:rsid w:val="00275A41"/>
    <w:rPr>
      <w:rFonts w:cs="Courier New"/>
    </w:rPr>
  </w:style>
  <w:style w:type="character" w:customStyle="1" w:styleId="ListLabel17">
    <w:name w:val="ListLabel 17"/>
    <w:qFormat/>
    <w:rsid w:val="00275A41"/>
    <w:rPr>
      <w:rFonts w:cs="Courier New"/>
    </w:rPr>
  </w:style>
  <w:style w:type="character" w:customStyle="1" w:styleId="ListLabel18">
    <w:name w:val="ListLabel 18"/>
    <w:qFormat/>
    <w:rsid w:val="00275A41"/>
    <w:rPr>
      <w:rFonts w:cs="Courier New"/>
    </w:rPr>
  </w:style>
  <w:style w:type="character" w:customStyle="1" w:styleId="ListLabel19">
    <w:name w:val="ListLabel 19"/>
    <w:qFormat/>
    <w:rsid w:val="00275A41"/>
    <w:rPr>
      <w:rFonts w:cs="Courier New"/>
    </w:rPr>
  </w:style>
  <w:style w:type="character" w:customStyle="1" w:styleId="ListLabel20">
    <w:name w:val="ListLabel 20"/>
    <w:qFormat/>
    <w:rsid w:val="00275A41"/>
    <w:rPr>
      <w:rFonts w:cs="Courier New"/>
    </w:rPr>
  </w:style>
  <w:style w:type="character" w:customStyle="1" w:styleId="ListLabel21">
    <w:name w:val="ListLabel 21"/>
    <w:qFormat/>
    <w:rsid w:val="00275A41"/>
    <w:rPr>
      <w:rFonts w:cs="Courier New"/>
    </w:rPr>
  </w:style>
  <w:style w:type="character" w:customStyle="1" w:styleId="ListLabel22">
    <w:name w:val="ListLabel 22"/>
    <w:qFormat/>
    <w:rsid w:val="00275A41"/>
    <w:rPr>
      <w:rFonts w:cs="Courier New"/>
    </w:rPr>
  </w:style>
  <w:style w:type="character" w:customStyle="1" w:styleId="ListLabel23">
    <w:name w:val="ListLabel 23"/>
    <w:qFormat/>
    <w:rsid w:val="00275A41"/>
    <w:rPr>
      <w:rFonts w:cs="Courier New"/>
    </w:rPr>
  </w:style>
  <w:style w:type="character" w:customStyle="1" w:styleId="ListLabel24">
    <w:name w:val="ListLabel 24"/>
    <w:qFormat/>
    <w:rsid w:val="00275A41"/>
    <w:rPr>
      <w:rFonts w:cs="Courier New"/>
    </w:rPr>
  </w:style>
  <w:style w:type="character" w:customStyle="1" w:styleId="ListLabel25">
    <w:name w:val="ListLabel 25"/>
    <w:qFormat/>
    <w:rsid w:val="00275A41"/>
    <w:rPr>
      <w:rFonts w:cs="Courier New"/>
    </w:rPr>
  </w:style>
  <w:style w:type="character" w:customStyle="1" w:styleId="ListLabel26">
    <w:name w:val="ListLabel 26"/>
    <w:qFormat/>
    <w:rsid w:val="00275A41"/>
    <w:rPr>
      <w:rFonts w:cs="Courier New"/>
    </w:rPr>
  </w:style>
  <w:style w:type="character" w:customStyle="1" w:styleId="ListLabel27">
    <w:name w:val="ListLabel 27"/>
    <w:qFormat/>
    <w:rsid w:val="00275A41"/>
    <w:rPr>
      <w:rFonts w:cs="Courier New"/>
    </w:rPr>
  </w:style>
  <w:style w:type="character" w:customStyle="1" w:styleId="ListLabel28">
    <w:name w:val="ListLabel 28"/>
    <w:qFormat/>
    <w:rsid w:val="00275A41"/>
    <w:rPr>
      <w:rFonts w:cs="Courier New"/>
    </w:rPr>
  </w:style>
  <w:style w:type="character" w:customStyle="1" w:styleId="ListLabel29">
    <w:name w:val="ListLabel 29"/>
    <w:qFormat/>
    <w:rsid w:val="00275A41"/>
    <w:rPr>
      <w:rFonts w:cs="Courier New"/>
    </w:rPr>
  </w:style>
  <w:style w:type="character" w:customStyle="1" w:styleId="ListLabel30">
    <w:name w:val="ListLabel 30"/>
    <w:qFormat/>
    <w:rsid w:val="00275A41"/>
    <w:rPr>
      <w:rFonts w:cs="Courier New"/>
    </w:rPr>
  </w:style>
  <w:style w:type="character" w:customStyle="1" w:styleId="ListLabel31">
    <w:name w:val="ListLabel 31"/>
    <w:qFormat/>
    <w:rsid w:val="00275A41"/>
    <w:rPr>
      <w:rFonts w:cs="Courier New"/>
    </w:rPr>
  </w:style>
  <w:style w:type="character" w:customStyle="1" w:styleId="ListLabel32">
    <w:name w:val="ListLabel 32"/>
    <w:qFormat/>
    <w:rsid w:val="00275A41"/>
    <w:rPr>
      <w:rFonts w:cs="Courier New"/>
    </w:rPr>
  </w:style>
  <w:style w:type="character" w:customStyle="1" w:styleId="ListLabel33">
    <w:name w:val="ListLabel 33"/>
    <w:qFormat/>
    <w:rsid w:val="00275A41"/>
    <w:rPr>
      <w:rFonts w:cs="Courier New"/>
    </w:rPr>
  </w:style>
  <w:style w:type="character" w:customStyle="1" w:styleId="ListLabel34">
    <w:name w:val="ListLabel 34"/>
    <w:qFormat/>
    <w:rsid w:val="00275A41"/>
    <w:rPr>
      <w:rFonts w:cs="Courier New"/>
    </w:rPr>
  </w:style>
  <w:style w:type="character" w:customStyle="1" w:styleId="ListLabel35">
    <w:name w:val="ListLabel 35"/>
    <w:qFormat/>
    <w:rsid w:val="00275A41"/>
    <w:rPr>
      <w:rFonts w:cs="Courier New"/>
    </w:rPr>
  </w:style>
  <w:style w:type="character" w:customStyle="1" w:styleId="ListLabel36">
    <w:name w:val="ListLabel 36"/>
    <w:qFormat/>
    <w:rsid w:val="00275A41"/>
    <w:rPr>
      <w:rFonts w:cs="Courier New"/>
      <w:b/>
      <w:sz w:val="24"/>
    </w:rPr>
  </w:style>
  <w:style w:type="character" w:customStyle="1" w:styleId="ListLabel37">
    <w:name w:val="ListLabel 37"/>
    <w:qFormat/>
    <w:rsid w:val="00275A41"/>
    <w:rPr>
      <w:rFonts w:cs="Courier New"/>
    </w:rPr>
  </w:style>
  <w:style w:type="character" w:customStyle="1" w:styleId="ListLabel38">
    <w:name w:val="ListLabel 38"/>
    <w:qFormat/>
    <w:rsid w:val="00275A41"/>
    <w:rPr>
      <w:rFonts w:cs="Courier New"/>
    </w:rPr>
  </w:style>
  <w:style w:type="character" w:customStyle="1" w:styleId="ListLabel39">
    <w:name w:val="ListLabel 39"/>
    <w:qFormat/>
    <w:rsid w:val="00275A41"/>
    <w:rPr>
      <w:rFonts w:cs="Courier New"/>
    </w:rPr>
  </w:style>
  <w:style w:type="character" w:customStyle="1" w:styleId="af3">
    <w:name w:val="Ссылка указателя"/>
    <w:qFormat/>
    <w:rsid w:val="00275A41"/>
  </w:style>
  <w:style w:type="paragraph" w:customStyle="1" w:styleId="13">
    <w:name w:val="Заголовок1"/>
    <w:basedOn w:val="a"/>
    <w:next w:val="af4"/>
    <w:qFormat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275A41"/>
    <w:pPr>
      <w:spacing w:after="140" w:line="288" w:lineRule="auto"/>
    </w:pPr>
  </w:style>
  <w:style w:type="paragraph" w:styleId="af5">
    <w:name w:val="List"/>
    <w:basedOn w:val="af4"/>
    <w:rsid w:val="00275A41"/>
    <w:rPr>
      <w:rFonts w:cs="Mangal"/>
    </w:rPr>
  </w:style>
  <w:style w:type="paragraph" w:styleId="af6">
    <w:name w:val="caption"/>
    <w:basedOn w:val="a"/>
    <w:qFormat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275A41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  <w:rsid w:val="00275A41"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sid w:val="00275A41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1&amp;documentId=2500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5005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50058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images\16_d0f59d85-a745-47d2-8f89-737d92a822aa.png" TargetMode="External"/><Relationship Id="rId10" Type="http://schemas.openxmlformats.org/officeDocument/2006/relationships/hyperlink" Target="https://normativ.kontur.ru/document?moduleId=1&amp;documentId=2500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7159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B549-7B92-4FB2-9C6B-AFB38C6A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Compile</dc:creator>
  <dc:description/>
  <cp:lastModifiedBy>Sadomova_SM</cp:lastModifiedBy>
  <cp:revision>2</cp:revision>
  <cp:lastPrinted>2016-10-07T09:24:00Z</cp:lastPrinted>
  <dcterms:created xsi:type="dcterms:W3CDTF">2017-05-22T12:12:00Z</dcterms:created>
  <dcterms:modified xsi:type="dcterms:W3CDTF">2017-05-22T12:12:00Z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